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E32133" w14:textId="2290B289" w:rsidR="0040332B" w:rsidRDefault="0040332B" w:rsidP="009B697F">
      <w:pPr>
        <w:rPr>
          <w:rFonts w:ascii="Calibri" w:eastAsia="Calibri" w:hAnsi="Calibri" w:cs="Calibri"/>
          <w:b/>
          <w:bCs/>
          <w:sz w:val="28"/>
          <w:szCs w:val="28"/>
          <w:lang w:val="cs-CZ"/>
        </w:rPr>
      </w:pPr>
    </w:p>
    <w:p w14:paraId="58B59983" w14:textId="714AAB06" w:rsidR="00F75412" w:rsidRDefault="00C00349" w:rsidP="00291BBB">
      <w:pPr>
        <w:jc w:val="center"/>
        <w:rPr>
          <w:rFonts w:ascii="Calibri" w:eastAsia="Calibri" w:hAnsi="Calibri" w:cs="Calibri"/>
          <w:b/>
          <w:bCs/>
          <w:sz w:val="27"/>
          <w:szCs w:val="27"/>
          <w:lang w:val="cs-CZ"/>
        </w:rPr>
      </w:pPr>
      <w:bookmarkStart w:id="0" w:name="_GoBack"/>
      <w:bookmarkEnd w:id="0"/>
      <w:r w:rsidRPr="00C00349">
        <w:rPr>
          <w:rFonts w:ascii="Calibri" w:eastAsia="Calibri" w:hAnsi="Calibri" w:cs="Calibri"/>
          <w:b/>
          <w:bCs/>
          <w:sz w:val="27"/>
          <w:szCs w:val="27"/>
          <w:lang w:val="cs-CZ"/>
        </w:rPr>
        <w:t>CBRE Shopping Centre Index: obchodní centra loni zvýšila obrat o 3,4 %. Jak</w:t>
      </w:r>
      <w:r w:rsidR="00CD50B4">
        <w:rPr>
          <w:rFonts w:ascii="Calibri" w:eastAsia="Calibri" w:hAnsi="Calibri" w:cs="Calibri"/>
          <w:b/>
          <w:bCs/>
          <w:sz w:val="27"/>
          <w:szCs w:val="27"/>
          <w:lang w:val="cs-CZ"/>
        </w:rPr>
        <w:t> </w:t>
      </w:r>
      <w:r w:rsidRPr="00C00349">
        <w:rPr>
          <w:rFonts w:ascii="Calibri" w:eastAsia="Calibri" w:hAnsi="Calibri" w:cs="Calibri"/>
          <w:b/>
          <w:bCs/>
          <w:sz w:val="27"/>
          <w:szCs w:val="27"/>
          <w:lang w:val="cs-CZ"/>
        </w:rPr>
        <w:t>se</w:t>
      </w:r>
      <w:r w:rsidR="00CD50B4">
        <w:rPr>
          <w:rFonts w:ascii="Calibri" w:eastAsia="Calibri" w:hAnsi="Calibri" w:cs="Calibri"/>
          <w:b/>
          <w:bCs/>
          <w:sz w:val="27"/>
          <w:szCs w:val="27"/>
          <w:lang w:val="cs-CZ"/>
        </w:rPr>
        <w:t> </w:t>
      </w:r>
      <w:r w:rsidRPr="00C00349">
        <w:rPr>
          <w:rFonts w:ascii="Calibri" w:eastAsia="Calibri" w:hAnsi="Calibri" w:cs="Calibri"/>
          <w:b/>
          <w:bCs/>
          <w:sz w:val="27"/>
          <w:szCs w:val="27"/>
          <w:lang w:val="cs-CZ"/>
        </w:rPr>
        <w:t>do</w:t>
      </w:r>
      <w:r w:rsidR="00CD50B4">
        <w:rPr>
          <w:rFonts w:ascii="Calibri" w:eastAsia="Calibri" w:hAnsi="Calibri" w:cs="Calibri"/>
          <w:b/>
          <w:bCs/>
          <w:sz w:val="27"/>
          <w:szCs w:val="27"/>
          <w:lang w:val="cs-CZ"/>
        </w:rPr>
        <w:t> </w:t>
      </w:r>
      <w:r w:rsidRPr="00C00349">
        <w:rPr>
          <w:rFonts w:ascii="Calibri" w:eastAsia="Calibri" w:hAnsi="Calibri" w:cs="Calibri"/>
          <w:b/>
          <w:bCs/>
          <w:sz w:val="27"/>
          <w:szCs w:val="27"/>
          <w:lang w:val="cs-CZ"/>
        </w:rPr>
        <w:t xml:space="preserve">jejich budoucnosti promítne pandemie </w:t>
      </w:r>
      <w:proofErr w:type="spellStart"/>
      <w:r w:rsidRPr="00C00349">
        <w:rPr>
          <w:rFonts w:ascii="Calibri" w:eastAsia="Calibri" w:hAnsi="Calibri" w:cs="Calibri"/>
          <w:b/>
          <w:bCs/>
          <w:sz w:val="27"/>
          <w:szCs w:val="27"/>
          <w:lang w:val="cs-CZ"/>
        </w:rPr>
        <w:t>koronaviru</w:t>
      </w:r>
      <w:proofErr w:type="spellEnd"/>
      <w:r w:rsidRPr="00C00349">
        <w:rPr>
          <w:rFonts w:ascii="Calibri" w:eastAsia="Calibri" w:hAnsi="Calibri" w:cs="Calibri"/>
          <w:b/>
          <w:bCs/>
          <w:sz w:val="27"/>
          <w:szCs w:val="27"/>
          <w:lang w:val="cs-CZ"/>
        </w:rPr>
        <w:t>?</w:t>
      </w:r>
    </w:p>
    <w:p w14:paraId="4DB18EEA" w14:textId="77777777" w:rsidR="00C00349" w:rsidRDefault="00C00349" w:rsidP="00291BBB">
      <w:pPr>
        <w:jc w:val="center"/>
        <w:rPr>
          <w:rFonts w:ascii="Calibri" w:eastAsia="Calibri" w:hAnsi="Calibri" w:cs="Calibri"/>
          <w:b/>
          <w:bCs/>
          <w:sz w:val="27"/>
          <w:szCs w:val="27"/>
          <w:lang w:val="cs-CZ"/>
        </w:rPr>
      </w:pPr>
    </w:p>
    <w:tbl>
      <w:tblPr>
        <w:tblStyle w:val="Mkatabulky"/>
        <w:tblW w:w="0" w:type="auto"/>
        <w:jc w:val="center"/>
        <w:tblLook w:val="04A0" w:firstRow="1" w:lastRow="0" w:firstColumn="1" w:lastColumn="0" w:noHBand="0" w:noVBand="1"/>
      </w:tblPr>
      <w:tblGrid>
        <w:gridCol w:w="2663"/>
        <w:gridCol w:w="6733"/>
      </w:tblGrid>
      <w:tr w:rsidR="00CD50B4" w:rsidRPr="00C00349" w14:paraId="1EC45AC0" w14:textId="77777777" w:rsidTr="00C00349">
        <w:trPr>
          <w:trHeight w:val="520"/>
          <w:jc w:val="center"/>
        </w:trPr>
        <w:tc>
          <w:tcPr>
            <w:tcW w:w="0" w:type="auto"/>
            <w:vAlign w:val="center"/>
          </w:tcPr>
          <w:p w14:paraId="120E2930" w14:textId="77777777" w:rsidR="00C00349" w:rsidRPr="00C00349" w:rsidRDefault="00C00349" w:rsidP="00C00349">
            <w:pPr>
              <w:spacing w:after="160" w:line="259" w:lineRule="auto"/>
              <w:jc w:val="center"/>
              <w:rPr>
                <w:rFonts w:ascii="Calibri" w:eastAsia="Calibri" w:hAnsi="Calibri" w:cs="Times New Roman"/>
                <w:b/>
                <w:color w:val="auto"/>
                <w:sz w:val="22"/>
                <w:szCs w:val="22"/>
                <w:lang w:val="cs-CZ"/>
              </w:rPr>
            </w:pPr>
            <w:r w:rsidRPr="00C00349">
              <w:rPr>
                <w:rFonts w:ascii="Calibri" w:eastAsia="Calibri" w:hAnsi="Calibri" w:cs="Times New Roman"/>
                <w:b/>
                <w:color w:val="auto"/>
                <w:sz w:val="22"/>
                <w:szCs w:val="22"/>
                <w:lang w:val="cs-CZ"/>
              </w:rPr>
              <w:t>Loni</w:t>
            </w:r>
          </w:p>
        </w:tc>
        <w:tc>
          <w:tcPr>
            <w:tcW w:w="0" w:type="auto"/>
            <w:vAlign w:val="center"/>
          </w:tcPr>
          <w:p w14:paraId="444ED168" w14:textId="77777777" w:rsidR="00C00349" w:rsidRPr="00C00349" w:rsidRDefault="00C00349" w:rsidP="00C00349">
            <w:pPr>
              <w:spacing w:after="160" w:line="259" w:lineRule="auto"/>
              <w:jc w:val="center"/>
              <w:rPr>
                <w:rFonts w:ascii="Calibri" w:eastAsia="Calibri" w:hAnsi="Calibri" w:cs="Times New Roman"/>
                <w:b/>
                <w:color w:val="auto"/>
                <w:sz w:val="22"/>
                <w:szCs w:val="22"/>
                <w:lang w:val="cs-CZ"/>
              </w:rPr>
            </w:pPr>
            <w:r w:rsidRPr="00C00349">
              <w:rPr>
                <w:rFonts w:ascii="Calibri" w:eastAsia="Calibri" w:hAnsi="Calibri" w:cs="Times New Roman"/>
                <w:b/>
                <w:color w:val="auto"/>
                <w:sz w:val="22"/>
                <w:szCs w:val="22"/>
                <w:lang w:val="cs-CZ"/>
              </w:rPr>
              <w:t>Letos po znovuotevření OC</w:t>
            </w:r>
          </w:p>
        </w:tc>
      </w:tr>
      <w:tr w:rsidR="00CD50B4" w:rsidRPr="00C00349" w14:paraId="50F86DA3" w14:textId="77777777" w:rsidTr="00C00349">
        <w:trPr>
          <w:trHeight w:val="671"/>
          <w:jc w:val="center"/>
        </w:trPr>
        <w:tc>
          <w:tcPr>
            <w:tcW w:w="0" w:type="auto"/>
            <w:vAlign w:val="center"/>
          </w:tcPr>
          <w:p w14:paraId="6DDA34AA" w14:textId="77777777" w:rsidR="00C00349" w:rsidRPr="00C00349" w:rsidRDefault="00C00349" w:rsidP="00C00349">
            <w:pPr>
              <w:spacing w:after="160" w:line="259" w:lineRule="auto"/>
              <w:rPr>
                <w:rFonts w:ascii="Calibri" w:eastAsia="Calibri" w:hAnsi="Calibri" w:cs="Calibri"/>
                <w:b/>
                <w:color w:val="auto"/>
                <w:sz w:val="22"/>
                <w:szCs w:val="22"/>
                <w:lang w:val="cs-CZ"/>
              </w:rPr>
            </w:pPr>
            <w:r w:rsidRPr="00C00349">
              <w:rPr>
                <w:rFonts w:ascii="Calibri" w:eastAsia="Calibri" w:hAnsi="Calibri" w:cs="Calibri"/>
                <w:b/>
                <w:color w:val="auto"/>
                <w:sz w:val="22"/>
                <w:szCs w:val="22"/>
                <w:lang w:val="cs-CZ"/>
              </w:rPr>
              <w:t>Obraty</w:t>
            </w:r>
            <w:r w:rsidRPr="00C00349">
              <w:rPr>
                <w:rFonts w:ascii="Calibri" w:eastAsia="Calibri" w:hAnsi="Calibri" w:cs="Calibri"/>
                <w:color w:val="auto"/>
                <w:sz w:val="22"/>
                <w:szCs w:val="22"/>
                <w:lang w:val="cs-CZ"/>
              </w:rPr>
              <w:t xml:space="preserve"> obchodních center meziročně vzrostly o 3,4 %.</w:t>
            </w:r>
          </w:p>
        </w:tc>
        <w:tc>
          <w:tcPr>
            <w:tcW w:w="0" w:type="auto"/>
            <w:vAlign w:val="center"/>
          </w:tcPr>
          <w:p w14:paraId="67235172" w14:textId="77777777" w:rsidR="00C00349" w:rsidRPr="00C00349" w:rsidRDefault="00C00349" w:rsidP="00C00349">
            <w:pPr>
              <w:spacing w:after="160" w:line="259" w:lineRule="auto"/>
              <w:ind w:left="175"/>
              <w:rPr>
                <w:rFonts w:ascii="Calibri" w:eastAsia="Calibri" w:hAnsi="Calibri" w:cs="Calibri"/>
                <w:b/>
                <w:color w:val="auto"/>
                <w:sz w:val="22"/>
                <w:szCs w:val="22"/>
                <w:lang w:val="cs-CZ"/>
              </w:rPr>
            </w:pPr>
            <w:r w:rsidRPr="00C00349">
              <w:rPr>
                <w:rFonts w:ascii="Calibri" w:eastAsia="Calibri" w:hAnsi="Calibri" w:cs="Calibri"/>
                <w:color w:val="auto"/>
                <w:sz w:val="22"/>
                <w:szCs w:val="22"/>
                <w:lang w:val="cs-CZ"/>
              </w:rPr>
              <w:t>Obchodníci jsou s výsledky spokojeni, v některých případech předčily jejich očekávání.</w:t>
            </w:r>
          </w:p>
        </w:tc>
      </w:tr>
      <w:tr w:rsidR="00CD50B4" w:rsidRPr="00C00349" w14:paraId="05D57FEA" w14:textId="77777777" w:rsidTr="00C00349">
        <w:trPr>
          <w:jc w:val="center"/>
        </w:trPr>
        <w:tc>
          <w:tcPr>
            <w:tcW w:w="0" w:type="auto"/>
            <w:vAlign w:val="center"/>
          </w:tcPr>
          <w:p w14:paraId="6592DD48" w14:textId="28E34A13" w:rsidR="00C00349" w:rsidRPr="00C00349" w:rsidRDefault="00C00349" w:rsidP="00CD50B4">
            <w:pPr>
              <w:spacing w:after="160" w:line="259" w:lineRule="auto"/>
              <w:rPr>
                <w:rFonts w:ascii="Calibri" w:eastAsia="Calibri" w:hAnsi="Calibri" w:cs="Calibri"/>
                <w:b/>
                <w:color w:val="auto"/>
                <w:sz w:val="22"/>
                <w:szCs w:val="22"/>
                <w:lang w:val="cs-CZ"/>
              </w:rPr>
            </w:pPr>
            <w:r w:rsidRPr="00C00349">
              <w:rPr>
                <w:rFonts w:ascii="Calibri" w:eastAsia="Calibri" w:hAnsi="Calibri" w:cs="Calibri"/>
                <w:b/>
                <w:color w:val="auto"/>
                <w:sz w:val="22"/>
                <w:szCs w:val="22"/>
                <w:lang w:val="cs-CZ"/>
              </w:rPr>
              <w:t>Návštěvnost</w:t>
            </w:r>
            <w:r w:rsidRPr="00C00349">
              <w:rPr>
                <w:rFonts w:ascii="Calibri" w:eastAsia="Calibri" w:hAnsi="Calibri" w:cs="Calibri"/>
                <w:color w:val="auto"/>
                <w:sz w:val="22"/>
                <w:szCs w:val="22"/>
                <w:lang w:val="cs-CZ"/>
              </w:rPr>
              <w:t xml:space="preserve"> se zvýšila o</w:t>
            </w:r>
            <w:r w:rsidR="00CD50B4">
              <w:rPr>
                <w:rFonts w:ascii="Calibri" w:eastAsia="Calibri" w:hAnsi="Calibri" w:cs="Calibri"/>
                <w:color w:val="auto"/>
                <w:sz w:val="22"/>
                <w:szCs w:val="22"/>
                <w:lang w:val="cs-CZ"/>
              </w:rPr>
              <w:t> </w:t>
            </w:r>
            <w:r w:rsidRPr="00C00349">
              <w:rPr>
                <w:rFonts w:ascii="Calibri" w:eastAsia="Calibri" w:hAnsi="Calibri" w:cs="Calibri"/>
                <w:color w:val="auto"/>
                <w:sz w:val="22"/>
                <w:szCs w:val="22"/>
                <w:lang w:val="cs-CZ"/>
              </w:rPr>
              <w:t>3,1 %.</w:t>
            </w:r>
          </w:p>
        </w:tc>
        <w:tc>
          <w:tcPr>
            <w:tcW w:w="0" w:type="auto"/>
            <w:vAlign w:val="center"/>
          </w:tcPr>
          <w:p w14:paraId="4E3FEF8B" w14:textId="49727A1D" w:rsidR="00C00349" w:rsidRPr="00C00349" w:rsidRDefault="00C00349" w:rsidP="00CD50B4">
            <w:pPr>
              <w:spacing w:after="160" w:line="259" w:lineRule="auto"/>
              <w:ind w:left="175"/>
              <w:rPr>
                <w:rFonts w:ascii="Calibri" w:eastAsia="Calibri" w:hAnsi="Calibri" w:cs="Calibri"/>
                <w:b/>
                <w:color w:val="auto"/>
                <w:sz w:val="22"/>
                <w:szCs w:val="22"/>
                <w:lang w:val="cs-CZ"/>
              </w:rPr>
            </w:pPr>
            <w:r w:rsidRPr="00C00349">
              <w:rPr>
                <w:rFonts w:ascii="Calibri" w:eastAsia="Calibri" w:hAnsi="Calibri" w:cs="Calibri"/>
                <w:color w:val="auto"/>
                <w:sz w:val="22"/>
                <w:szCs w:val="22"/>
                <w:lang w:val="cs-CZ"/>
              </w:rPr>
              <w:t>Meziročně se návštěvnost propadla o 15-20 %, ale centra zatím plně nevyužívají marketingových nástrojů na podporu návštěvnosti a</w:t>
            </w:r>
            <w:r w:rsidR="00CD50B4">
              <w:rPr>
                <w:rFonts w:ascii="Calibri" w:eastAsia="Calibri" w:hAnsi="Calibri" w:cs="Calibri"/>
                <w:color w:val="auto"/>
                <w:sz w:val="22"/>
                <w:szCs w:val="22"/>
                <w:lang w:val="cs-CZ"/>
              </w:rPr>
              <w:t> </w:t>
            </w:r>
            <w:r w:rsidRPr="00C00349">
              <w:rPr>
                <w:rFonts w:ascii="Calibri" w:eastAsia="Calibri" w:hAnsi="Calibri" w:cs="Calibri"/>
                <w:color w:val="auto"/>
                <w:sz w:val="22"/>
                <w:szCs w:val="22"/>
                <w:lang w:val="cs-CZ"/>
              </w:rPr>
              <w:t>naopak dodržují zvýšená bezpečnostní opatření.</w:t>
            </w:r>
          </w:p>
        </w:tc>
      </w:tr>
      <w:tr w:rsidR="00CD50B4" w:rsidRPr="00C00349" w14:paraId="239BFE6E" w14:textId="77777777" w:rsidTr="00C00349">
        <w:trPr>
          <w:jc w:val="center"/>
        </w:trPr>
        <w:tc>
          <w:tcPr>
            <w:tcW w:w="0" w:type="auto"/>
            <w:vAlign w:val="center"/>
          </w:tcPr>
          <w:p w14:paraId="6A98F45E" w14:textId="5E525D61" w:rsidR="00C00349" w:rsidRPr="00C00349" w:rsidRDefault="00C00349" w:rsidP="00CD50B4">
            <w:pPr>
              <w:spacing w:after="160" w:line="259" w:lineRule="auto"/>
              <w:rPr>
                <w:rFonts w:ascii="Calibri" w:eastAsia="Calibri" w:hAnsi="Calibri" w:cs="Calibri"/>
                <w:b/>
                <w:color w:val="auto"/>
                <w:sz w:val="22"/>
                <w:szCs w:val="22"/>
                <w:lang w:val="cs-CZ"/>
              </w:rPr>
            </w:pPr>
            <w:r w:rsidRPr="00C00349">
              <w:rPr>
                <w:rFonts w:ascii="Calibri" w:eastAsia="Calibri" w:hAnsi="Calibri" w:cs="Calibri"/>
                <w:b/>
                <w:color w:val="auto"/>
                <w:sz w:val="22"/>
                <w:szCs w:val="22"/>
                <w:lang w:val="cs-CZ"/>
              </w:rPr>
              <w:t>Nájemné</w:t>
            </w:r>
            <w:r w:rsidRPr="00C00349">
              <w:rPr>
                <w:rFonts w:ascii="Calibri" w:eastAsia="Calibri" w:hAnsi="Calibri" w:cs="Calibri"/>
                <w:color w:val="auto"/>
                <w:sz w:val="22"/>
                <w:szCs w:val="22"/>
                <w:lang w:val="cs-CZ"/>
              </w:rPr>
              <w:t xml:space="preserve"> rostlo jen</w:t>
            </w:r>
            <w:r w:rsidR="00CD50B4">
              <w:rPr>
                <w:rFonts w:ascii="Calibri" w:eastAsia="Calibri" w:hAnsi="Calibri" w:cs="Calibri"/>
                <w:color w:val="auto"/>
                <w:sz w:val="22"/>
                <w:szCs w:val="22"/>
                <w:lang w:val="cs-CZ"/>
              </w:rPr>
              <w:t> </w:t>
            </w:r>
            <w:r w:rsidRPr="00C00349">
              <w:rPr>
                <w:rFonts w:ascii="Calibri" w:eastAsia="Calibri" w:hAnsi="Calibri" w:cs="Calibri"/>
                <w:color w:val="auto"/>
                <w:sz w:val="22"/>
                <w:szCs w:val="22"/>
                <w:lang w:val="cs-CZ"/>
              </w:rPr>
              <w:t>minimálně.</w:t>
            </w:r>
          </w:p>
        </w:tc>
        <w:tc>
          <w:tcPr>
            <w:tcW w:w="0" w:type="auto"/>
            <w:vAlign w:val="center"/>
          </w:tcPr>
          <w:p w14:paraId="08E3BB7A" w14:textId="3104087F" w:rsidR="00C00349" w:rsidRPr="00C00349" w:rsidRDefault="00C00349" w:rsidP="00CD50B4">
            <w:pPr>
              <w:spacing w:after="160" w:line="259" w:lineRule="auto"/>
              <w:ind w:left="175"/>
              <w:rPr>
                <w:rFonts w:ascii="Calibri" w:eastAsia="Calibri" w:hAnsi="Calibri" w:cs="Calibri"/>
                <w:b/>
                <w:color w:val="auto"/>
                <w:sz w:val="22"/>
                <w:szCs w:val="22"/>
                <w:lang w:val="cs-CZ"/>
              </w:rPr>
            </w:pPr>
            <w:r w:rsidRPr="00C00349">
              <w:rPr>
                <w:rFonts w:ascii="Calibri" w:eastAsia="Calibri" w:hAnsi="Calibri" w:cs="Calibri"/>
                <w:color w:val="auto"/>
                <w:sz w:val="22"/>
                <w:szCs w:val="22"/>
                <w:lang w:val="cs-CZ"/>
              </w:rPr>
              <w:t>Objevují se žádosti o úpravu výše nájemného formou slevy, a</w:t>
            </w:r>
            <w:r w:rsidR="00CD50B4">
              <w:rPr>
                <w:rFonts w:ascii="Calibri" w:eastAsia="Calibri" w:hAnsi="Calibri" w:cs="Calibri"/>
                <w:color w:val="auto"/>
                <w:sz w:val="22"/>
                <w:szCs w:val="22"/>
                <w:lang w:val="cs-CZ"/>
              </w:rPr>
              <w:t> </w:t>
            </w:r>
            <w:r w:rsidRPr="00C00349">
              <w:rPr>
                <w:rFonts w:ascii="Calibri" w:eastAsia="Calibri" w:hAnsi="Calibri" w:cs="Calibri"/>
                <w:color w:val="auto"/>
                <w:sz w:val="22"/>
                <w:szCs w:val="22"/>
                <w:lang w:val="cs-CZ"/>
              </w:rPr>
              <w:t>to</w:t>
            </w:r>
            <w:r w:rsidR="00CD50B4">
              <w:rPr>
                <w:rFonts w:ascii="Calibri" w:eastAsia="Calibri" w:hAnsi="Calibri" w:cs="Calibri"/>
                <w:color w:val="auto"/>
                <w:sz w:val="22"/>
                <w:szCs w:val="22"/>
                <w:lang w:val="cs-CZ"/>
              </w:rPr>
              <w:t> </w:t>
            </w:r>
            <w:r w:rsidRPr="00C00349">
              <w:rPr>
                <w:rFonts w:ascii="Calibri" w:eastAsia="Calibri" w:hAnsi="Calibri" w:cs="Calibri"/>
                <w:color w:val="auto"/>
                <w:sz w:val="22"/>
                <w:szCs w:val="22"/>
                <w:lang w:val="cs-CZ"/>
              </w:rPr>
              <w:t>na</w:t>
            </w:r>
            <w:r w:rsidR="00CD50B4">
              <w:rPr>
                <w:rFonts w:ascii="Calibri" w:eastAsia="Calibri" w:hAnsi="Calibri" w:cs="Calibri"/>
                <w:color w:val="auto"/>
                <w:sz w:val="22"/>
                <w:szCs w:val="22"/>
                <w:lang w:val="cs-CZ"/>
              </w:rPr>
              <w:t> </w:t>
            </w:r>
            <w:r w:rsidRPr="00C00349">
              <w:rPr>
                <w:rFonts w:ascii="Calibri" w:eastAsia="Calibri" w:hAnsi="Calibri" w:cs="Calibri"/>
                <w:color w:val="auto"/>
                <w:sz w:val="22"/>
                <w:szCs w:val="22"/>
                <w:lang w:val="cs-CZ"/>
              </w:rPr>
              <w:t>přechodnou dobu či s platností do konce roku.</w:t>
            </w:r>
          </w:p>
        </w:tc>
      </w:tr>
      <w:tr w:rsidR="00CD50B4" w:rsidRPr="00C00349" w14:paraId="4DE646B5" w14:textId="77777777" w:rsidTr="000C5660">
        <w:trPr>
          <w:trHeight w:val="397"/>
          <w:jc w:val="center"/>
        </w:trPr>
        <w:tc>
          <w:tcPr>
            <w:tcW w:w="0" w:type="auto"/>
            <w:vAlign w:val="center"/>
          </w:tcPr>
          <w:p w14:paraId="327C83E6" w14:textId="77777777" w:rsidR="00C00349" w:rsidRPr="00C00349" w:rsidRDefault="00C00349" w:rsidP="00C00349">
            <w:pPr>
              <w:spacing w:after="160" w:line="259" w:lineRule="auto"/>
              <w:rPr>
                <w:rFonts w:ascii="Calibri" w:eastAsia="Calibri" w:hAnsi="Calibri" w:cs="Calibri"/>
                <w:b/>
                <w:color w:val="auto"/>
                <w:sz w:val="22"/>
                <w:szCs w:val="22"/>
                <w:lang w:val="cs-CZ"/>
              </w:rPr>
            </w:pPr>
            <w:r w:rsidRPr="00C00349">
              <w:rPr>
                <w:rFonts w:ascii="Calibri" w:eastAsia="Calibri" w:hAnsi="Calibri" w:cs="Calibri"/>
                <w:b/>
                <w:color w:val="auto"/>
                <w:sz w:val="22"/>
                <w:szCs w:val="22"/>
                <w:lang w:val="cs-CZ"/>
              </w:rPr>
              <w:t>Míra neobsazenosti</w:t>
            </w:r>
            <w:r w:rsidRPr="00C00349">
              <w:rPr>
                <w:rFonts w:ascii="Calibri" w:eastAsia="Calibri" w:hAnsi="Calibri" w:cs="Calibri"/>
                <w:color w:val="auto"/>
                <w:sz w:val="22"/>
                <w:szCs w:val="22"/>
                <w:lang w:val="cs-CZ"/>
              </w:rPr>
              <w:t xml:space="preserve"> byla stabilní kolem 3,5 %.</w:t>
            </w:r>
          </w:p>
        </w:tc>
        <w:tc>
          <w:tcPr>
            <w:tcW w:w="0" w:type="auto"/>
            <w:vAlign w:val="center"/>
          </w:tcPr>
          <w:p w14:paraId="6DDCE266" w14:textId="77777777" w:rsidR="00C00349" w:rsidRPr="00C00349" w:rsidRDefault="00C00349" w:rsidP="00C00349">
            <w:pPr>
              <w:spacing w:after="160" w:line="259" w:lineRule="auto"/>
              <w:ind w:left="175"/>
              <w:rPr>
                <w:rFonts w:ascii="Calibri" w:eastAsia="Calibri" w:hAnsi="Calibri" w:cs="Calibri"/>
                <w:b/>
                <w:color w:val="auto"/>
                <w:sz w:val="22"/>
                <w:szCs w:val="22"/>
                <w:lang w:val="cs-CZ"/>
              </w:rPr>
            </w:pPr>
            <w:r w:rsidRPr="00C00349">
              <w:rPr>
                <w:rFonts w:ascii="Calibri" w:eastAsia="Calibri" w:hAnsi="Calibri" w:cs="Calibri"/>
                <w:color w:val="auto"/>
                <w:sz w:val="22"/>
                <w:szCs w:val="22"/>
                <w:lang w:val="cs-CZ"/>
              </w:rPr>
              <w:t>Černé scénáře se nepotvrdily, znovu neotevřely pouze jednotky obchodů.</w:t>
            </w:r>
          </w:p>
        </w:tc>
      </w:tr>
    </w:tbl>
    <w:p w14:paraId="1C3F9130" w14:textId="77777777" w:rsidR="00C00349" w:rsidRPr="00086708" w:rsidRDefault="00C00349" w:rsidP="000C5660">
      <w:pPr>
        <w:jc w:val="center"/>
        <w:rPr>
          <w:rFonts w:ascii="Calibri" w:eastAsia="Calibri" w:hAnsi="Calibri" w:cs="Calibri"/>
          <w:b/>
          <w:bCs/>
          <w:sz w:val="28"/>
          <w:szCs w:val="28"/>
          <w:lang w:val="cs-CZ"/>
        </w:rPr>
      </w:pPr>
    </w:p>
    <w:p w14:paraId="1FBD9EC7" w14:textId="3AE7D571" w:rsidR="00F93CA4" w:rsidRDefault="006400E6" w:rsidP="000C5660">
      <w:pPr>
        <w:jc w:val="both"/>
        <w:rPr>
          <w:rFonts w:ascii="Calibri" w:eastAsia="Calibri" w:hAnsi="Calibri" w:cs="Calibri"/>
          <w:bCs/>
          <w:lang w:val="cs-CZ"/>
        </w:rPr>
      </w:pPr>
      <w:proofErr w:type="gramStart"/>
      <w:r>
        <w:rPr>
          <w:rFonts w:ascii="Calibri" w:eastAsia="Calibri" w:hAnsi="Calibri" w:cs="Calibri"/>
          <w:lang w:val="cs-CZ"/>
        </w:rPr>
        <w:t>Praha</w:t>
      </w:r>
      <w:proofErr w:type="gramEnd"/>
      <w:r w:rsidRPr="0024184B">
        <w:rPr>
          <w:rFonts w:ascii="Calibri" w:eastAsia="Calibri" w:hAnsi="Calibri" w:cs="Calibri"/>
          <w:lang w:val="cs-CZ"/>
        </w:rPr>
        <w:t xml:space="preserve">, </w:t>
      </w:r>
      <w:r w:rsidR="0024184B">
        <w:rPr>
          <w:rFonts w:ascii="Calibri" w:eastAsia="Calibri" w:hAnsi="Calibri" w:cs="Calibri"/>
          <w:lang w:val="cs-CZ"/>
        </w:rPr>
        <w:t>25</w:t>
      </w:r>
      <w:r w:rsidRPr="0024184B">
        <w:rPr>
          <w:rFonts w:ascii="Calibri" w:eastAsia="Calibri" w:hAnsi="Calibri" w:cs="Calibri"/>
          <w:color w:val="auto"/>
          <w:lang w:val="cs-CZ"/>
        </w:rPr>
        <w:t>.</w:t>
      </w:r>
      <w:r>
        <w:rPr>
          <w:rFonts w:ascii="Calibri" w:eastAsia="Calibri" w:hAnsi="Calibri" w:cs="Calibri"/>
          <w:color w:val="auto"/>
          <w:lang w:val="cs-CZ"/>
        </w:rPr>
        <w:t xml:space="preserve"> </w:t>
      </w:r>
      <w:r w:rsidR="00242E44">
        <w:rPr>
          <w:rFonts w:ascii="Calibri" w:eastAsia="Calibri" w:hAnsi="Calibri" w:cs="Calibri"/>
          <w:color w:val="auto"/>
          <w:lang w:val="cs-CZ"/>
        </w:rPr>
        <w:t>června</w:t>
      </w:r>
      <w:r>
        <w:rPr>
          <w:rFonts w:ascii="Calibri" w:eastAsia="Calibri" w:hAnsi="Calibri" w:cs="Calibri"/>
          <w:color w:val="auto"/>
          <w:lang w:val="cs-CZ"/>
        </w:rPr>
        <w:t xml:space="preserve"> </w:t>
      </w:r>
      <w:r>
        <w:rPr>
          <w:rFonts w:ascii="Calibri" w:eastAsia="Calibri" w:hAnsi="Calibri" w:cs="Calibri"/>
          <w:lang w:val="cs-CZ"/>
        </w:rPr>
        <w:t xml:space="preserve">2020 – </w:t>
      </w:r>
      <w:r w:rsidR="00F93CA4" w:rsidRPr="00F93CA4">
        <w:rPr>
          <w:rFonts w:ascii="Calibri" w:eastAsia="Calibri" w:hAnsi="Calibri" w:cs="Calibri"/>
          <w:bCs/>
          <w:lang w:val="cs-CZ"/>
        </w:rPr>
        <w:t xml:space="preserve">Podle nejnovější studie Shopping Centre Index, kterou již osmým </w:t>
      </w:r>
      <w:proofErr w:type="gramStart"/>
      <w:r w:rsidR="00F93CA4" w:rsidRPr="00F93CA4">
        <w:rPr>
          <w:rFonts w:ascii="Calibri" w:eastAsia="Calibri" w:hAnsi="Calibri" w:cs="Calibri"/>
          <w:bCs/>
          <w:lang w:val="cs-CZ"/>
        </w:rPr>
        <w:t>rokem</w:t>
      </w:r>
      <w:proofErr w:type="gramEnd"/>
      <w:r w:rsidR="00F93CA4" w:rsidRPr="00F93CA4">
        <w:rPr>
          <w:rFonts w:ascii="Calibri" w:eastAsia="Calibri" w:hAnsi="Calibri" w:cs="Calibri"/>
          <w:bCs/>
          <w:lang w:val="cs-CZ"/>
        </w:rPr>
        <w:t xml:space="preserve"> sestavuje společnost CBRE, světový lídr v oblasti správy a pronájmu maloobchodních prostor, se</w:t>
      </w:r>
      <w:r w:rsidR="005F5682">
        <w:rPr>
          <w:rFonts w:ascii="Calibri" w:eastAsia="Calibri" w:hAnsi="Calibri" w:cs="Calibri"/>
          <w:bCs/>
          <w:lang w:val="cs-CZ"/>
        </w:rPr>
        <w:t> </w:t>
      </w:r>
      <w:r w:rsidR="00F93CA4" w:rsidRPr="00F93CA4">
        <w:rPr>
          <w:rFonts w:ascii="Calibri" w:eastAsia="Calibri" w:hAnsi="Calibri" w:cs="Calibri"/>
          <w:bCs/>
          <w:lang w:val="cs-CZ"/>
        </w:rPr>
        <w:t>regionálním nákupním centrům v České republice v roce 2019 opět dařilo. Je zřejmé, že</w:t>
      </w:r>
      <w:r w:rsidR="005F5682">
        <w:rPr>
          <w:rFonts w:ascii="Calibri" w:eastAsia="Calibri" w:hAnsi="Calibri" w:cs="Calibri"/>
          <w:bCs/>
          <w:lang w:val="cs-CZ"/>
        </w:rPr>
        <w:t> </w:t>
      </w:r>
      <w:r w:rsidR="00F93CA4" w:rsidRPr="00F93CA4">
        <w:rPr>
          <w:rFonts w:ascii="Calibri" w:eastAsia="Calibri" w:hAnsi="Calibri" w:cs="Calibri"/>
          <w:bCs/>
          <w:lang w:val="cs-CZ"/>
        </w:rPr>
        <w:t>pozitivní vývoj výkonnosti obchodních center, který je patrný v posledních šesti letech, bude letos poznamenán dopady pandemie Covid-19 s více než dvouměsíčním uzavřením většiny obchodů. Pro kvalifikovanou předpověď, s jakou rychlostí se maloobchodní trh zotaví, je třeba vědět, v jaké kondici byl ještě před nástupem pandemie, jaká jsou jeho specifika a které trendy na něj působí. Odborníci CBRE komentují aktuální i budoucí vývoj v kontextu rozsáhlého průzkumu výkonnosti 20 regionálních nákupních center (kromě Prahy), který představuje více než 570 000 m</w:t>
      </w:r>
      <w:r w:rsidR="00F93CA4" w:rsidRPr="00F93CA4">
        <w:rPr>
          <w:rFonts w:ascii="Calibri" w:eastAsia="Calibri" w:hAnsi="Calibri" w:cs="Calibri"/>
          <w:bCs/>
          <w:vertAlign w:val="superscript"/>
          <w:lang w:val="cs-CZ"/>
        </w:rPr>
        <w:t>2</w:t>
      </w:r>
      <w:r w:rsidR="00F93CA4" w:rsidRPr="00F93CA4">
        <w:rPr>
          <w:rFonts w:ascii="Calibri" w:eastAsia="Calibri" w:hAnsi="Calibri" w:cs="Calibri"/>
          <w:bCs/>
          <w:lang w:val="cs-CZ"/>
        </w:rPr>
        <w:t xml:space="preserve"> maloobchodních ploch.</w:t>
      </w:r>
    </w:p>
    <w:p w14:paraId="32EFE3D3" w14:textId="77777777" w:rsidR="00F93CA4" w:rsidRPr="00F93CA4" w:rsidRDefault="00F93CA4" w:rsidP="000C5660">
      <w:pPr>
        <w:jc w:val="both"/>
        <w:rPr>
          <w:rFonts w:ascii="Calibri" w:eastAsia="Calibri" w:hAnsi="Calibri" w:cs="Calibri"/>
          <w:bCs/>
          <w:lang w:val="cs-CZ"/>
        </w:rPr>
      </w:pPr>
    </w:p>
    <w:p w14:paraId="4880FEF3" w14:textId="4D2365BD" w:rsidR="00F93CA4" w:rsidRDefault="00F93CA4" w:rsidP="000C5660">
      <w:pPr>
        <w:jc w:val="both"/>
        <w:rPr>
          <w:rFonts w:ascii="Calibri" w:eastAsia="Calibri" w:hAnsi="Calibri" w:cs="Calibri"/>
          <w:bCs/>
          <w:lang w:val="cs-CZ"/>
        </w:rPr>
      </w:pPr>
      <w:r w:rsidRPr="00F93CA4">
        <w:rPr>
          <w:rFonts w:ascii="Calibri" w:eastAsia="Calibri" w:hAnsi="Calibri" w:cs="Calibri"/>
          <w:bCs/>
          <w:lang w:val="cs-CZ"/>
        </w:rPr>
        <w:t xml:space="preserve">Obchodní centra prošla v posledních dvou letech řadou strukturálních změn. Zatímco plocha hypermarketů a supermarketů se snížila, </w:t>
      </w:r>
      <w:r w:rsidR="00376B31">
        <w:rPr>
          <w:rFonts w:ascii="Calibri" w:eastAsia="Calibri" w:hAnsi="Calibri" w:cs="Calibri"/>
          <w:bCs/>
          <w:lang w:val="cs-CZ"/>
        </w:rPr>
        <w:t>vznikl</w:t>
      </w:r>
      <w:r w:rsidRPr="00F93CA4">
        <w:rPr>
          <w:rFonts w:ascii="Calibri" w:eastAsia="Calibri" w:hAnsi="Calibri" w:cs="Calibri"/>
          <w:bCs/>
          <w:lang w:val="cs-CZ"/>
        </w:rPr>
        <w:t xml:space="preserve"> tím prostor pro rozšiřování nákupní galerie s</w:t>
      </w:r>
      <w:r w:rsidR="005F5682">
        <w:rPr>
          <w:rFonts w:ascii="Calibri" w:eastAsia="Calibri" w:hAnsi="Calibri" w:cs="Calibri"/>
          <w:bCs/>
          <w:lang w:val="cs-CZ"/>
        </w:rPr>
        <w:t> </w:t>
      </w:r>
      <w:r w:rsidRPr="00F93CA4">
        <w:rPr>
          <w:rFonts w:ascii="Calibri" w:eastAsia="Calibri" w:hAnsi="Calibri" w:cs="Calibri"/>
          <w:bCs/>
          <w:lang w:val="cs-CZ"/>
        </w:rPr>
        <w:t>prodejnami mó</w:t>
      </w:r>
      <w:r w:rsidR="006F63C8">
        <w:rPr>
          <w:rFonts w:ascii="Calibri" w:eastAsia="Calibri" w:hAnsi="Calibri" w:cs="Calibri"/>
          <w:bCs/>
          <w:lang w:val="cs-CZ"/>
        </w:rPr>
        <w:t>dy, elektra, domácími potřebami a</w:t>
      </w:r>
      <w:r w:rsidR="00BF7353">
        <w:rPr>
          <w:rFonts w:ascii="Calibri" w:eastAsia="Calibri" w:hAnsi="Calibri" w:cs="Calibri"/>
          <w:bCs/>
          <w:lang w:val="cs-CZ"/>
        </w:rPr>
        <w:t xml:space="preserve"> nábytkem. </w:t>
      </w:r>
      <w:r w:rsidRPr="00F93CA4">
        <w:rPr>
          <w:rFonts w:ascii="Calibri" w:eastAsia="Calibri" w:hAnsi="Calibri" w:cs="Calibri"/>
          <w:bCs/>
          <w:lang w:val="cs-CZ"/>
        </w:rPr>
        <w:t>Zároveň se zvětšoval prostor pro</w:t>
      </w:r>
      <w:r w:rsidR="005F5682">
        <w:rPr>
          <w:rFonts w:ascii="Calibri" w:eastAsia="Calibri" w:hAnsi="Calibri" w:cs="Calibri"/>
          <w:bCs/>
          <w:lang w:val="cs-CZ"/>
        </w:rPr>
        <w:t> </w:t>
      </w:r>
      <w:proofErr w:type="spellStart"/>
      <w:r w:rsidRPr="00F93CA4">
        <w:rPr>
          <w:rFonts w:ascii="Calibri" w:eastAsia="Calibri" w:hAnsi="Calibri" w:cs="Calibri"/>
          <w:bCs/>
          <w:lang w:val="cs-CZ"/>
        </w:rPr>
        <w:t>foodcourty</w:t>
      </w:r>
      <w:proofErr w:type="spellEnd"/>
      <w:r w:rsidRPr="00F93CA4">
        <w:rPr>
          <w:rFonts w:ascii="Calibri" w:eastAsia="Calibri" w:hAnsi="Calibri" w:cs="Calibri"/>
          <w:bCs/>
          <w:lang w:val="cs-CZ"/>
        </w:rPr>
        <w:t xml:space="preserve"> a volnočasové aktivity. V současnosti zaujímají největší podíl na pronajímané ploše galerie v obchodních centrech oděvní značky (38 %), následuje specializovaný maloobchod, kam patří například parfumerie, knihkupectví, lékárny, optiky či hračkářství (16 %). Pomyslnou třetí příčku drží obchody se sportovním zbožím (12 %). Vloni výrazně expandoval segment domácích potřeb a nábytku, který navýšil podíl pronajímaných ploch o 16 %. Specializované obchody s elektronikou se rozrostly o 6 %. Oděvní značky sice zvětšily prodejní plochu meziročně o pouhé 4 %, ale v absolutních číslech nově obsazené plochy </w:t>
      </w:r>
      <w:r w:rsidR="000914E0">
        <w:rPr>
          <w:rFonts w:ascii="Calibri" w:eastAsia="Calibri" w:hAnsi="Calibri" w:cs="Calibri"/>
          <w:bCs/>
          <w:lang w:val="cs-CZ"/>
        </w:rPr>
        <w:t>byly</w:t>
      </w:r>
      <w:r w:rsidRPr="00F93CA4">
        <w:rPr>
          <w:rFonts w:ascii="Calibri" w:eastAsia="Calibri" w:hAnsi="Calibri" w:cs="Calibri"/>
          <w:bCs/>
          <w:lang w:val="cs-CZ"/>
        </w:rPr>
        <w:t xml:space="preserve"> premianty.</w:t>
      </w:r>
    </w:p>
    <w:p w14:paraId="4AEE54C7" w14:textId="77777777" w:rsidR="006F63C8" w:rsidRPr="00F93CA4" w:rsidRDefault="006F63C8" w:rsidP="000C5660">
      <w:pPr>
        <w:jc w:val="both"/>
        <w:rPr>
          <w:rFonts w:ascii="Calibri" w:eastAsia="Calibri" w:hAnsi="Calibri" w:cs="Calibri"/>
          <w:bCs/>
          <w:lang w:val="cs-CZ"/>
        </w:rPr>
      </w:pPr>
    </w:p>
    <w:p w14:paraId="17C19522" w14:textId="0D0D746C" w:rsidR="00F93CA4" w:rsidRPr="00F93CA4" w:rsidRDefault="00F93CA4" w:rsidP="00F93CA4">
      <w:pPr>
        <w:jc w:val="both"/>
        <w:rPr>
          <w:rFonts w:ascii="Calibri" w:eastAsia="Calibri" w:hAnsi="Calibri" w:cs="Calibri"/>
          <w:b/>
          <w:bCs/>
          <w:lang w:val="cs-CZ"/>
        </w:rPr>
      </w:pPr>
      <w:r w:rsidRPr="00F93CA4">
        <w:rPr>
          <w:rFonts w:ascii="Calibri" w:eastAsia="Calibri" w:hAnsi="Calibri" w:cs="Calibri"/>
          <w:b/>
          <w:bCs/>
          <w:lang w:val="cs-CZ"/>
        </w:rPr>
        <w:lastRenderedPageBreak/>
        <w:t xml:space="preserve">Největší nárůst loňských obratů </w:t>
      </w:r>
      <w:r w:rsidR="006F63C8">
        <w:rPr>
          <w:rFonts w:ascii="Calibri" w:eastAsia="Calibri" w:hAnsi="Calibri" w:cs="Calibri"/>
          <w:b/>
          <w:bCs/>
          <w:lang w:val="cs-CZ"/>
        </w:rPr>
        <w:t xml:space="preserve">zaznamenal sektor elektra (14,4 </w:t>
      </w:r>
      <w:r w:rsidRPr="00F93CA4">
        <w:rPr>
          <w:rFonts w:ascii="Calibri" w:eastAsia="Calibri" w:hAnsi="Calibri" w:cs="Calibri"/>
          <w:b/>
          <w:bCs/>
          <w:lang w:val="cs-CZ"/>
        </w:rPr>
        <w:t>%), služeb (11,1 %) a</w:t>
      </w:r>
      <w:r w:rsidR="005F5682">
        <w:rPr>
          <w:rFonts w:ascii="Calibri" w:eastAsia="Calibri" w:hAnsi="Calibri" w:cs="Calibri"/>
          <w:b/>
          <w:bCs/>
          <w:lang w:val="cs-CZ"/>
        </w:rPr>
        <w:t> </w:t>
      </w:r>
      <w:r w:rsidRPr="00F93CA4">
        <w:rPr>
          <w:rFonts w:ascii="Calibri" w:eastAsia="Calibri" w:hAnsi="Calibri" w:cs="Calibri"/>
          <w:b/>
          <w:bCs/>
          <w:lang w:val="cs-CZ"/>
        </w:rPr>
        <w:t>gastronomie (10 %)</w:t>
      </w:r>
      <w:r w:rsidR="006F63C8">
        <w:rPr>
          <w:rFonts w:ascii="Calibri" w:eastAsia="Calibri" w:hAnsi="Calibri" w:cs="Calibri"/>
          <w:b/>
          <w:bCs/>
          <w:lang w:val="cs-CZ"/>
        </w:rPr>
        <w:t xml:space="preserve">. Po pandemii se nejrychleji </w:t>
      </w:r>
      <w:r w:rsidRPr="00F93CA4">
        <w:rPr>
          <w:rFonts w:ascii="Calibri" w:eastAsia="Calibri" w:hAnsi="Calibri" w:cs="Calibri"/>
          <w:b/>
          <w:bCs/>
          <w:lang w:val="cs-CZ"/>
        </w:rPr>
        <w:t>zotavuje obuv, móda a sportovní zboží</w:t>
      </w:r>
    </w:p>
    <w:p w14:paraId="7882FF8E" w14:textId="0A50664F" w:rsidR="00F93CA4" w:rsidRDefault="00F93CA4" w:rsidP="00F93CA4">
      <w:pPr>
        <w:jc w:val="both"/>
        <w:rPr>
          <w:rFonts w:ascii="Calibri" w:eastAsia="Calibri" w:hAnsi="Calibri" w:cs="Calibri"/>
          <w:bCs/>
          <w:lang w:val="cs-CZ"/>
        </w:rPr>
      </w:pPr>
      <w:r w:rsidRPr="00F93CA4">
        <w:rPr>
          <w:rFonts w:ascii="Calibri" w:eastAsia="Calibri" w:hAnsi="Calibri" w:cs="Calibri"/>
          <w:bCs/>
          <w:lang w:val="cs-CZ"/>
        </w:rPr>
        <w:t xml:space="preserve">Od roku 2014 jsme byli svědky rostoucího trendu obratů obchodních center, které v tomto období </w:t>
      </w:r>
      <w:r w:rsidR="009026A8" w:rsidRPr="00F93CA4">
        <w:rPr>
          <w:rFonts w:ascii="Calibri" w:eastAsia="Calibri" w:hAnsi="Calibri" w:cs="Calibri"/>
          <w:bCs/>
          <w:lang w:val="cs-CZ"/>
        </w:rPr>
        <w:t xml:space="preserve">dosáhly </w:t>
      </w:r>
      <w:r w:rsidR="009026A8">
        <w:rPr>
          <w:rFonts w:ascii="Calibri" w:eastAsia="Calibri" w:hAnsi="Calibri" w:cs="Calibri"/>
          <w:bCs/>
          <w:lang w:val="cs-CZ"/>
        </w:rPr>
        <w:t>kumulativního</w:t>
      </w:r>
      <w:r w:rsidRPr="00F93CA4">
        <w:rPr>
          <w:rFonts w:ascii="Calibri" w:eastAsia="Calibri" w:hAnsi="Calibri" w:cs="Calibri"/>
          <w:bCs/>
          <w:lang w:val="cs-CZ"/>
        </w:rPr>
        <w:t xml:space="preserve"> navýšení o téměř 30 %. Také v loňském roce došlo k meziročnímu </w:t>
      </w:r>
      <w:r w:rsidR="00B5417F">
        <w:rPr>
          <w:rFonts w:ascii="Calibri" w:eastAsia="Calibri" w:hAnsi="Calibri" w:cs="Calibri"/>
          <w:bCs/>
          <w:lang w:val="cs-CZ"/>
        </w:rPr>
        <w:t>zlepšení</w:t>
      </w:r>
      <w:r w:rsidRPr="00F93CA4">
        <w:rPr>
          <w:rFonts w:ascii="Calibri" w:eastAsia="Calibri" w:hAnsi="Calibri" w:cs="Calibri"/>
          <w:bCs/>
          <w:lang w:val="cs-CZ"/>
        </w:rPr>
        <w:t xml:space="preserve">, a to o 3,4 %. I když se tempo růstu mírně zpomalilo, stále se z pohledu historie českého trhu jednalo o velmi dobrý výsledek. </w:t>
      </w:r>
      <w:r w:rsidRPr="00F93CA4">
        <w:rPr>
          <w:rFonts w:ascii="Calibri" w:eastAsia="Calibri" w:hAnsi="Calibri" w:cs="Calibri"/>
          <w:bCs/>
          <w:i/>
          <w:lang w:val="cs-CZ"/>
        </w:rPr>
        <w:t xml:space="preserve">„Růst obratů se významně lišil v závislosti na typu segmentu. Pomyslným loňským vítězem je oblast elektra (14,4 %). Tento sektor prošel v letech 2017-2018 významnými strukturálními změnami, které v tomto období vedly k jeho slabší výkonnosti. Ovšem výsledky za loňský rok již ukazují, že tyto změny byly účinné a prodeji elektroniky v kamenných obchodech se dařilo i navzdory konkurenci online nákupů, které jsou </w:t>
      </w:r>
      <w:r w:rsidR="00B5417F">
        <w:rPr>
          <w:rFonts w:ascii="Calibri" w:eastAsia="Calibri" w:hAnsi="Calibri" w:cs="Calibri"/>
          <w:bCs/>
          <w:i/>
          <w:lang w:val="cs-CZ"/>
        </w:rPr>
        <w:t xml:space="preserve">právě </w:t>
      </w:r>
      <w:r w:rsidR="00B5417F" w:rsidRPr="00F93CA4">
        <w:rPr>
          <w:rFonts w:ascii="Calibri" w:eastAsia="Calibri" w:hAnsi="Calibri" w:cs="Calibri"/>
          <w:bCs/>
          <w:i/>
          <w:lang w:val="cs-CZ"/>
        </w:rPr>
        <w:t xml:space="preserve">u elektra </w:t>
      </w:r>
      <w:r w:rsidRPr="00F93CA4">
        <w:rPr>
          <w:rFonts w:ascii="Calibri" w:eastAsia="Calibri" w:hAnsi="Calibri" w:cs="Calibri"/>
          <w:bCs/>
          <w:i/>
          <w:lang w:val="cs-CZ"/>
        </w:rPr>
        <w:t xml:space="preserve">mezi </w:t>
      </w:r>
      <w:r w:rsidR="00B5417F">
        <w:rPr>
          <w:rFonts w:ascii="Calibri" w:eastAsia="Calibri" w:hAnsi="Calibri" w:cs="Calibri"/>
          <w:bCs/>
          <w:i/>
          <w:lang w:val="cs-CZ"/>
        </w:rPr>
        <w:t xml:space="preserve">všemi </w:t>
      </w:r>
      <w:r w:rsidRPr="00F93CA4">
        <w:rPr>
          <w:rFonts w:ascii="Calibri" w:eastAsia="Calibri" w:hAnsi="Calibri" w:cs="Calibri"/>
          <w:bCs/>
          <w:i/>
          <w:lang w:val="cs-CZ"/>
        </w:rPr>
        <w:t>sledovanými sektory na nejvyšší úrovni. Mezi další úspěchy loňského roku patří růst obratů v</w:t>
      </w:r>
      <w:r w:rsidR="005F5682">
        <w:rPr>
          <w:rFonts w:ascii="Calibri" w:eastAsia="Calibri" w:hAnsi="Calibri" w:cs="Calibri"/>
          <w:bCs/>
          <w:i/>
          <w:lang w:val="cs-CZ"/>
        </w:rPr>
        <w:t> </w:t>
      </w:r>
      <w:r w:rsidRPr="00F93CA4">
        <w:rPr>
          <w:rFonts w:ascii="Calibri" w:eastAsia="Calibri" w:hAnsi="Calibri" w:cs="Calibri"/>
          <w:bCs/>
          <w:i/>
          <w:lang w:val="cs-CZ"/>
        </w:rPr>
        <w:t>gastronomii (10 %) a službách (11,1 %). U obou kategorií evidujeme již třetí rok v řadě dvouciferný nárůst hodnoty obratů</w:t>
      </w:r>
      <w:r w:rsidR="00B5417F">
        <w:rPr>
          <w:rFonts w:ascii="Calibri" w:eastAsia="Calibri" w:hAnsi="Calibri" w:cs="Calibri"/>
          <w:bCs/>
          <w:i/>
          <w:lang w:val="cs-CZ"/>
        </w:rPr>
        <w:t xml:space="preserve">. To potvrzuje jejich </w:t>
      </w:r>
      <w:r w:rsidRPr="00F93CA4">
        <w:rPr>
          <w:rFonts w:ascii="Calibri" w:eastAsia="Calibri" w:hAnsi="Calibri" w:cs="Calibri"/>
          <w:bCs/>
          <w:i/>
          <w:lang w:val="cs-CZ"/>
        </w:rPr>
        <w:t>pozici nejdynamičtějších sektorů v</w:t>
      </w:r>
      <w:r w:rsidR="005F5682">
        <w:rPr>
          <w:rFonts w:ascii="Calibri" w:eastAsia="Calibri" w:hAnsi="Calibri" w:cs="Calibri"/>
          <w:bCs/>
          <w:i/>
          <w:lang w:val="cs-CZ"/>
        </w:rPr>
        <w:t> </w:t>
      </w:r>
      <w:r w:rsidRPr="00F93CA4">
        <w:rPr>
          <w:rFonts w:ascii="Calibri" w:eastAsia="Calibri" w:hAnsi="Calibri" w:cs="Calibri"/>
          <w:bCs/>
          <w:i/>
          <w:lang w:val="cs-CZ"/>
        </w:rPr>
        <w:t>nákupních centrech,“</w:t>
      </w:r>
      <w:r w:rsidRPr="00F93CA4">
        <w:rPr>
          <w:rFonts w:ascii="Calibri" w:eastAsia="Calibri" w:hAnsi="Calibri" w:cs="Calibri"/>
          <w:bCs/>
          <w:lang w:val="cs-CZ"/>
        </w:rPr>
        <w:t xml:space="preserve"> komentuje </w:t>
      </w:r>
      <w:r w:rsidRPr="00F93CA4">
        <w:rPr>
          <w:rFonts w:ascii="Calibri" w:eastAsia="Calibri" w:hAnsi="Calibri" w:cs="Calibri"/>
          <w:b/>
          <w:bCs/>
          <w:lang w:val="cs-CZ"/>
        </w:rPr>
        <w:t xml:space="preserve">Klára </w:t>
      </w:r>
      <w:proofErr w:type="spellStart"/>
      <w:r w:rsidRPr="00F93CA4">
        <w:rPr>
          <w:rFonts w:ascii="Calibri" w:eastAsia="Calibri" w:hAnsi="Calibri" w:cs="Calibri"/>
          <w:b/>
          <w:bCs/>
          <w:lang w:val="cs-CZ"/>
        </w:rPr>
        <w:t>Bejblová</w:t>
      </w:r>
      <w:proofErr w:type="spellEnd"/>
      <w:r w:rsidRPr="00F93CA4">
        <w:rPr>
          <w:rFonts w:ascii="Calibri" w:eastAsia="Calibri" w:hAnsi="Calibri" w:cs="Calibri"/>
          <w:b/>
          <w:bCs/>
          <w:lang w:val="cs-CZ"/>
        </w:rPr>
        <w:t>, vedoucí výzkumu maloobchodního sektoru v</w:t>
      </w:r>
      <w:r w:rsidR="005F5682">
        <w:rPr>
          <w:rFonts w:ascii="Calibri" w:eastAsia="Calibri" w:hAnsi="Calibri" w:cs="Calibri"/>
          <w:b/>
          <w:bCs/>
          <w:lang w:val="cs-CZ"/>
        </w:rPr>
        <w:t> </w:t>
      </w:r>
      <w:r w:rsidRPr="00F93CA4">
        <w:rPr>
          <w:rFonts w:ascii="Calibri" w:eastAsia="Calibri" w:hAnsi="Calibri" w:cs="Calibri"/>
          <w:b/>
          <w:bCs/>
          <w:lang w:val="cs-CZ"/>
        </w:rPr>
        <w:t>CBRE</w:t>
      </w:r>
      <w:r w:rsidRPr="00F93CA4">
        <w:rPr>
          <w:rFonts w:ascii="Calibri" w:eastAsia="Calibri" w:hAnsi="Calibri" w:cs="Calibri"/>
          <w:bCs/>
          <w:lang w:val="cs-CZ"/>
        </w:rPr>
        <w:t xml:space="preserve">. </w:t>
      </w:r>
    </w:p>
    <w:p w14:paraId="7615395E" w14:textId="77777777" w:rsidR="00F93CA4" w:rsidRPr="00F93CA4" w:rsidRDefault="00F93CA4" w:rsidP="00F93CA4">
      <w:pPr>
        <w:jc w:val="both"/>
        <w:rPr>
          <w:rFonts w:ascii="Calibri" w:eastAsia="Calibri" w:hAnsi="Calibri" w:cs="Calibri"/>
          <w:bCs/>
          <w:lang w:val="cs-CZ"/>
        </w:rPr>
      </w:pPr>
    </w:p>
    <w:p w14:paraId="5492F25B" w14:textId="270CFAD5" w:rsidR="00F93CA4" w:rsidRDefault="00F93CA4" w:rsidP="00F93CA4">
      <w:pPr>
        <w:jc w:val="both"/>
        <w:rPr>
          <w:rFonts w:ascii="Calibri" w:eastAsia="Calibri" w:hAnsi="Calibri" w:cs="Calibri"/>
          <w:bCs/>
          <w:lang w:val="cs-CZ"/>
        </w:rPr>
      </w:pPr>
      <w:r w:rsidRPr="00F93CA4">
        <w:rPr>
          <w:rFonts w:ascii="Calibri" w:eastAsia="Calibri" w:hAnsi="Calibri" w:cs="Calibri"/>
          <w:bCs/>
          <w:lang w:val="cs-CZ"/>
        </w:rPr>
        <w:t xml:space="preserve">Naopak vloni se příliš nedařilo segmentu módy, který poprvé po pěti letech růstu zaznamenal pokles o 1,5 %. Hlavním důvodem byly nižší obraty specializovaných oděvních značek, ale svou roli sehrál také podíl pronajatých ploch. Ačkoliv hodnota agregovaných obratů i nadále rostla, měla již menší dynamiku, než byl přírůstek plochy pronajatých jednotek. S obtížemi se </w:t>
      </w:r>
      <w:r w:rsidR="00B5417F" w:rsidRPr="00F93CA4">
        <w:rPr>
          <w:rFonts w:ascii="Calibri" w:eastAsia="Calibri" w:hAnsi="Calibri" w:cs="Calibri"/>
          <w:bCs/>
          <w:lang w:val="cs-CZ"/>
        </w:rPr>
        <w:t xml:space="preserve">potýkal </w:t>
      </w:r>
      <w:r w:rsidRPr="00F93CA4">
        <w:rPr>
          <w:rFonts w:ascii="Calibri" w:eastAsia="Calibri" w:hAnsi="Calibri" w:cs="Calibri"/>
          <w:bCs/>
          <w:lang w:val="cs-CZ"/>
        </w:rPr>
        <w:t>i</w:t>
      </w:r>
      <w:r w:rsidR="005F5682">
        <w:rPr>
          <w:rFonts w:ascii="Calibri" w:eastAsia="Calibri" w:hAnsi="Calibri" w:cs="Calibri"/>
          <w:bCs/>
          <w:lang w:val="cs-CZ"/>
        </w:rPr>
        <w:t> </w:t>
      </w:r>
      <w:r w:rsidRPr="00F93CA4">
        <w:rPr>
          <w:rFonts w:ascii="Calibri" w:eastAsia="Calibri" w:hAnsi="Calibri" w:cs="Calibri"/>
          <w:bCs/>
          <w:lang w:val="cs-CZ"/>
        </w:rPr>
        <w:t>další rok prodej obuvi, který zaznamenal meziroční pokles o 5,3 %. A ke zpomalení tempa růstu došlo také u sektoru kabelek a cestovních zavazadel, kde se dříve dvoucife</w:t>
      </w:r>
      <w:r w:rsidR="00B5417F">
        <w:rPr>
          <w:rFonts w:ascii="Calibri" w:eastAsia="Calibri" w:hAnsi="Calibri" w:cs="Calibri"/>
          <w:bCs/>
          <w:lang w:val="cs-CZ"/>
        </w:rPr>
        <w:t>rné růsty obratů snížily o 7 %.</w:t>
      </w:r>
    </w:p>
    <w:p w14:paraId="2746B3FA" w14:textId="77777777" w:rsidR="00F93CA4" w:rsidRPr="00F93CA4" w:rsidRDefault="00F93CA4" w:rsidP="00F93CA4">
      <w:pPr>
        <w:jc w:val="both"/>
        <w:rPr>
          <w:rFonts w:ascii="Calibri" w:eastAsia="Calibri" w:hAnsi="Calibri" w:cs="Calibri"/>
          <w:bCs/>
          <w:lang w:val="cs-CZ"/>
        </w:rPr>
      </w:pPr>
    </w:p>
    <w:p w14:paraId="24686BFF" w14:textId="21F67255" w:rsidR="00F93CA4" w:rsidRDefault="00F93CA4" w:rsidP="00F93CA4">
      <w:pPr>
        <w:jc w:val="both"/>
        <w:rPr>
          <w:rFonts w:ascii="Calibri" w:eastAsia="Calibri" w:hAnsi="Calibri" w:cs="Calibri"/>
          <w:bCs/>
          <w:lang w:val="cs-CZ"/>
        </w:rPr>
      </w:pPr>
      <w:r w:rsidRPr="00F93CA4">
        <w:rPr>
          <w:rFonts w:ascii="Calibri" w:eastAsia="Calibri" w:hAnsi="Calibri" w:cs="Calibri"/>
          <w:bCs/>
          <w:i/>
          <w:lang w:val="cs-CZ"/>
        </w:rPr>
        <w:t>„Během letošního března došlo ve srovnání s rokem 2019 zhruba k 45% propadu v obratech, v</w:t>
      </w:r>
      <w:r w:rsidR="005F5682">
        <w:rPr>
          <w:rFonts w:ascii="Calibri" w:eastAsia="Calibri" w:hAnsi="Calibri" w:cs="Calibri"/>
          <w:bCs/>
          <w:i/>
          <w:lang w:val="cs-CZ"/>
        </w:rPr>
        <w:t> </w:t>
      </w:r>
      <w:r w:rsidRPr="00F93CA4">
        <w:rPr>
          <w:rFonts w:ascii="Calibri" w:eastAsia="Calibri" w:hAnsi="Calibri" w:cs="Calibri"/>
          <w:bCs/>
          <w:i/>
          <w:lang w:val="cs-CZ"/>
        </w:rPr>
        <w:t>dubnu dokonce o 65 %. Nicméně již nyní sledujeme, že se situace vyvíjí příznivě. Na základě zpětné vazby od většiny obchodníků kvitujeme, že jsou s výsledky spokojeni – ty v některých případech předčily jejich očekávání. Nájemci z oblasti módy nebo elektra, kteří zredukovali počty zaměstnanců, dokonce nebyli v první vlně po znovuotevření obchodních center schopni dostatečně obsloužit nové zákazníky. Kategorie jako obuv, móda nebo sport jsou na tom dobře. Ale</w:t>
      </w:r>
      <w:r w:rsidR="005F5682">
        <w:rPr>
          <w:rFonts w:ascii="Calibri" w:eastAsia="Calibri" w:hAnsi="Calibri" w:cs="Calibri"/>
          <w:bCs/>
          <w:i/>
          <w:lang w:val="cs-CZ"/>
        </w:rPr>
        <w:t> </w:t>
      </w:r>
      <w:r w:rsidRPr="00F93CA4">
        <w:rPr>
          <w:rFonts w:ascii="Calibri" w:eastAsia="Calibri" w:hAnsi="Calibri" w:cs="Calibri"/>
          <w:bCs/>
          <w:i/>
          <w:lang w:val="cs-CZ"/>
        </w:rPr>
        <w:t>samozřejmě existují i sektory, kde probíhá oživení pomaleji. Jedná se zejména o cestovní kanceláře a provozovatele volnočasových aktivit. Naopak zájem je o restaurace a provozovny s</w:t>
      </w:r>
      <w:r w:rsidR="005F5682">
        <w:rPr>
          <w:rFonts w:ascii="Calibri" w:eastAsia="Calibri" w:hAnsi="Calibri" w:cs="Calibri"/>
          <w:bCs/>
          <w:i/>
          <w:lang w:val="cs-CZ"/>
        </w:rPr>
        <w:t> </w:t>
      </w:r>
      <w:r w:rsidRPr="00F93CA4">
        <w:rPr>
          <w:rFonts w:ascii="Calibri" w:eastAsia="Calibri" w:hAnsi="Calibri" w:cs="Calibri"/>
          <w:bCs/>
          <w:i/>
          <w:lang w:val="cs-CZ"/>
        </w:rPr>
        <w:t>občerstvením. Je zřejmé, že si lidé po dlouhé době domácího vaření potřebují trochu oddychnout a najíst se venku,“</w:t>
      </w:r>
      <w:r w:rsidRPr="00F93CA4">
        <w:rPr>
          <w:rFonts w:ascii="Calibri" w:eastAsia="Calibri" w:hAnsi="Calibri" w:cs="Calibri"/>
          <w:bCs/>
          <w:lang w:val="cs-CZ"/>
        </w:rPr>
        <w:t xml:space="preserve"> říká </w:t>
      </w:r>
      <w:r w:rsidRPr="00F93CA4">
        <w:rPr>
          <w:rFonts w:ascii="Calibri" w:eastAsia="Calibri" w:hAnsi="Calibri" w:cs="Calibri"/>
          <w:b/>
          <w:bCs/>
          <w:lang w:val="cs-CZ"/>
        </w:rPr>
        <w:t>Tomáš Míček, vedoucí správy obchodních center v CBRE</w:t>
      </w:r>
      <w:r w:rsidRPr="00F93CA4">
        <w:rPr>
          <w:rFonts w:ascii="Calibri" w:eastAsia="Calibri" w:hAnsi="Calibri" w:cs="Calibri"/>
          <w:bCs/>
          <w:lang w:val="cs-CZ"/>
        </w:rPr>
        <w:t>.</w:t>
      </w:r>
    </w:p>
    <w:p w14:paraId="5E7335CA" w14:textId="77777777" w:rsidR="00F93CA4" w:rsidRPr="00F93CA4" w:rsidRDefault="00F93CA4" w:rsidP="00F93CA4">
      <w:pPr>
        <w:jc w:val="both"/>
        <w:rPr>
          <w:rFonts w:ascii="Calibri" w:eastAsia="Calibri" w:hAnsi="Calibri" w:cs="Calibri"/>
          <w:bCs/>
          <w:lang w:val="cs-CZ"/>
        </w:rPr>
      </w:pPr>
    </w:p>
    <w:p w14:paraId="5503CE6E" w14:textId="24775E41" w:rsidR="00F93CA4" w:rsidRPr="00F93CA4" w:rsidRDefault="00F93CA4" w:rsidP="00F93CA4">
      <w:pPr>
        <w:jc w:val="both"/>
        <w:rPr>
          <w:rFonts w:ascii="Calibri" w:eastAsia="Calibri" w:hAnsi="Calibri" w:cs="Calibri"/>
          <w:b/>
          <w:bCs/>
          <w:lang w:val="cs-CZ"/>
        </w:rPr>
      </w:pPr>
      <w:r w:rsidRPr="00F93CA4">
        <w:rPr>
          <w:rFonts w:ascii="Calibri" w:eastAsia="Calibri" w:hAnsi="Calibri" w:cs="Calibri"/>
          <w:b/>
          <w:bCs/>
          <w:lang w:val="cs-CZ"/>
        </w:rPr>
        <w:t>Návštěvnost obchodních center i výše průměrné útraty v minulých letech rostla. Nyní zákazníci utrácí stejně, ale své nákupy cíleně plánují</w:t>
      </w:r>
    </w:p>
    <w:p w14:paraId="0E134607" w14:textId="6202E4C4" w:rsidR="00F93CA4" w:rsidRDefault="00F93CA4" w:rsidP="00F93CA4">
      <w:pPr>
        <w:jc w:val="both"/>
        <w:rPr>
          <w:rFonts w:ascii="Calibri" w:eastAsia="Calibri" w:hAnsi="Calibri" w:cs="Calibri"/>
          <w:bCs/>
          <w:lang w:val="cs-CZ"/>
        </w:rPr>
      </w:pPr>
      <w:r w:rsidRPr="00F93CA4">
        <w:rPr>
          <w:rFonts w:ascii="Calibri" w:eastAsia="Calibri" w:hAnsi="Calibri" w:cs="Calibri"/>
          <w:bCs/>
          <w:lang w:val="cs-CZ"/>
        </w:rPr>
        <w:t xml:space="preserve">Návštěvnost obchodních center zastoupených v </w:t>
      </w:r>
      <w:r w:rsidR="000914E0">
        <w:rPr>
          <w:rFonts w:ascii="Calibri" w:eastAsia="Calibri" w:hAnsi="Calibri" w:cs="Calibri"/>
          <w:bCs/>
          <w:lang w:val="cs-CZ"/>
        </w:rPr>
        <w:t>I</w:t>
      </w:r>
      <w:r w:rsidRPr="00F93CA4">
        <w:rPr>
          <w:rFonts w:ascii="Calibri" w:eastAsia="Calibri" w:hAnsi="Calibri" w:cs="Calibri"/>
          <w:bCs/>
          <w:lang w:val="cs-CZ"/>
        </w:rPr>
        <w:t xml:space="preserve">ndexu CBRE dosáhla v loňském roce 93 milionů zákazníků. Ve srovnání s předchozím rokem se jedná o 3,1% nárůst, což znamená zhruba o 380 návštěv na centrum denně více. Zatímco výstavba nových regionálních center byla v posledních pěti letech značně omezená (kolem 5 %), zákaznická základna je stabilní a ve stejném období vzrostla o cca 8 %. Nejenže Češi chodí do obchodních center častěji než dříve, ale díky vysokým </w:t>
      </w:r>
      <w:r w:rsidRPr="00F93CA4">
        <w:rPr>
          <w:rFonts w:ascii="Calibri" w:eastAsia="Calibri" w:hAnsi="Calibri" w:cs="Calibri"/>
          <w:bCs/>
          <w:lang w:val="cs-CZ"/>
        </w:rPr>
        <w:lastRenderedPageBreak/>
        <w:t>nárůstům obratů každým rokem roste i nákupní košík (od roku 2015 o 25 %). Jen loni došlo k</w:t>
      </w:r>
      <w:r w:rsidR="005F5682">
        <w:rPr>
          <w:rFonts w:ascii="Calibri" w:eastAsia="Calibri" w:hAnsi="Calibri" w:cs="Calibri"/>
          <w:bCs/>
          <w:lang w:val="cs-CZ"/>
        </w:rPr>
        <w:t> </w:t>
      </w:r>
      <w:r w:rsidRPr="00F93CA4">
        <w:rPr>
          <w:rFonts w:ascii="Calibri" w:eastAsia="Calibri" w:hAnsi="Calibri" w:cs="Calibri"/>
          <w:bCs/>
          <w:lang w:val="cs-CZ"/>
        </w:rPr>
        <w:t>meziročnímu zvýšení o 4,4 % a aktuálně průměrný zákazník centra utratí během jedné návštěvy 221 Kč. Je zřejmé, že i přes vzrůstající oblibu e-</w:t>
      </w:r>
      <w:proofErr w:type="spellStart"/>
      <w:r w:rsidRPr="00F93CA4">
        <w:rPr>
          <w:rFonts w:ascii="Calibri" w:eastAsia="Calibri" w:hAnsi="Calibri" w:cs="Calibri"/>
          <w:bCs/>
          <w:lang w:val="cs-CZ"/>
        </w:rPr>
        <w:t>commerce</w:t>
      </w:r>
      <w:proofErr w:type="spellEnd"/>
      <w:r w:rsidRPr="00F93CA4">
        <w:rPr>
          <w:rFonts w:ascii="Calibri" w:eastAsia="Calibri" w:hAnsi="Calibri" w:cs="Calibri"/>
          <w:bCs/>
          <w:lang w:val="cs-CZ"/>
        </w:rPr>
        <w:t xml:space="preserve">, která v loňském roce podle statistik ČSÚ posílila o 18,2 %, zůstávají Češi kamenným obchodům věrni. A nic zásadního na tom nezmění ani pandemie </w:t>
      </w:r>
      <w:proofErr w:type="spellStart"/>
      <w:r w:rsidRPr="00F93CA4">
        <w:rPr>
          <w:rFonts w:ascii="Calibri" w:eastAsia="Calibri" w:hAnsi="Calibri" w:cs="Calibri"/>
          <w:bCs/>
          <w:lang w:val="cs-CZ"/>
        </w:rPr>
        <w:t>koronaviru</w:t>
      </w:r>
      <w:proofErr w:type="spellEnd"/>
      <w:r w:rsidRPr="00F93CA4">
        <w:rPr>
          <w:rFonts w:ascii="Calibri" w:eastAsia="Calibri" w:hAnsi="Calibri" w:cs="Calibri"/>
          <w:bCs/>
          <w:lang w:val="cs-CZ"/>
        </w:rPr>
        <w:t xml:space="preserve">. Z nedávného průzkumu CBRE o změnách nákupního chování v době karantény (více informací </w:t>
      </w:r>
      <w:hyperlink r:id="rId11" w:history="1">
        <w:r w:rsidRPr="00EE35BD">
          <w:rPr>
            <w:rStyle w:val="Hypertextovodkaz"/>
            <w:rFonts w:ascii="Calibri" w:eastAsia="Calibri" w:hAnsi="Calibri" w:cs="Calibri"/>
            <w:bCs/>
            <w:lang w:val="cs-CZ"/>
          </w:rPr>
          <w:t>zde</w:t>
        </w:r>
      </w:hyperlink>
      <w:r w:rsidRPr="00F93CA4">
        <w:rPr>
          <w:rFonts w:ascii="Calibri" w:eastAsia="Calibri" w:hAnsi="Calibri" w:cs="Calibri"/>
          <w:bCs/>
          <w:lang w:val="cs-CZ"/>
        </w:rPr>
        <w:t>) vyplývá, že pokud si lidé budou moci vybrat mezi návštěvou obchodního centra a online nakupováním, pouze 10 % dotazovaných se omezí jen na druhou možnost. 76 % lidí přitom uvedlo, že chce pokračovat v pravidelných nákupech v klasických prodejnách. Zákazníci jednoduše chtějí mít z nakupování zážitek.</w:t>
      </w:r>
    </w:p>
    <w:p w14:paraId="12679BE3" w14:textId="77777777" w:rsidR="00F93CA4" w:rsidRPr="00F93CA4" w:rsidRDefault="00F93CA4" w:rsidP="00F93CA4">
      <w:pPr>
        <w:jc w:val="both"/>
        <w:rPr>
          <w:rFonts w:ascii="Calibri" w:eastAsia="Calibri" w:hAnsi="Calibri" w:cs="Calibri"/>
          <w:bCs/>
          <w:lang w:val="cs-CZ"/>
        </w:rPr>
      </w:pPr>
    </w:p>
    <w:p w14:paraId="14723BE2" w14:textId="35E11696" w:rsidR="00F93CA4" w:rsidRPr="00F93CA4" w:rsidRDefault="00F93CA4" w:rsidP="00F93CA4">
      <w:pPr>
        <w:jc w:val="both"/>
        <w:rPr>
          <w:rFonts w:ascii="Calibri" w:eastAsia="Calibri" w:hAnsi="Calibri" w:cs="Calibri"/>
          <w:bCs/>
          <w:lang w:val="cs-CZ"/>
        </w:rPr>
      </w:pPr>
      <w:r w:rsidRPr="00F93CA4">
        <w:rPr>
          <w:rFonts w:ascii="Calibri" w:eastAsia="Calibri" w:hAnsi="Calibri" w:cs="Calibri"/>
          <w:bCs/>
          <w:i/>
          <w:lang w:val="cs-CZ"/>
        </w:rPr>
        <w:t xml:space="preserve">„Letos v březnu se ve srovnání s loňským rokem propadla návštěvnost obchodních center o 45 %, v dubnu o 65 % a po znovuotevření o 15-20 %. Návštěvnost je v této době velmi závislá na lokalitě a její spádové oblasti, protože lidé nejsou ochotni za nákupy příliš cestovat na delší vzdálenost. Obchodní centra v regionech jsou na tom obecně lépe než centra v Praze, kterým primárně chybí zákazníci z řad turistů, anebo centra obklopená větším množstvím </w:t>
      </w:r>
      <w:r w:rsidR="00EE35BD">
        <w:rPr>
          <w:rFonts w:ascii="Calibri" w:eastAsia="Calibri" w:hAnsi="Calibri" w:cs="Calibri"/>
          <w:bCs/>
          <w:i/>
          <w:lang w:val="cs-CZ"/>
        </w:rPr>
        <w:t>kancelářských budov</w:t>
      </w:r>
      <w:r w:rsidRPr="00F93CA4">
        <w:rPr>
          <w:rFonts w:ascii="Calibri" w:eastAsia="Calibri" w:hAnsi="Calibri" w:cs="Calibri"/>
          <w:bCs/>
          <w:i/>
          <w:lang w:val="cs-CZ"/>
        </w:rPr>
        <w:t>, jelikož zaměstnanci stále ve velké míře využívají práci z domova. Na druhou stranu návštěvnost porovnáváme s obdobím před rokem, kdy obchodní centra mohla plně využívat marketingové nástroje na podporu návštěvnosti v podobě různých akcí, koncertů, food festivalů a výstav pro</w:t>
      </w:r>
      <w:r w:rsidR="005F5682">
        <w:rPr>
          <w:rFonts w:ascii="Calibri" w:eastAsia="Calibri" w:hAnsi="Calibri" w:cs="Calibri"/>
          <w:bCs/>
          <w:i/>
          <w:lang w:val="cs-CZ"/>
        </w:rPr>
        <w:t> </w:t>
      </w:r>
      <w:r w:rsidRPr="00F93CA4">
        <w:rPr>
          <w:rFonts w:ascii="Calibri" w:eastAsia="Calibri" w:hAnsi="Calibri" w:cs="Calibri"/>
          <w:bCs/>
          <w:i/>
          <w:lang w:val="cs-CZ"/>
        </w:rPr>
        <w:t>širokou veřejnost. Přesto se do jisté míry naplnily naše předpoklady - zákazníci v těchto dnech nákupy více plánují a cíleně nakupují zboží, které potřebují. V centrech se v současné době nepohybuje tolik zákazníků, kteří by v něm trávili volný čas,“</w:t>
      </w:r>
      <w:r w:rsidRPr="00F93CA4">
        <w:rPr>
          <w:rFonts w:ascii="Calibri" w:eastAsia="Calibri" w:hAnsi="Calibri" w:cs="Calibri"/>
          <w:bCs/>
          <w:lang w:val="cs-CZ"/>
        </w:rPr>
        <w:t xml:space="preserve"> uvádí </w:t>
      </w:r>
      <w:r w:rsidRPr="00F93CA4">
        <w:rPr>
          <w:rFonts w:ascii="Calibri" w:eastAsia="Calibri" w:hAnsi="Calibri" w:cs="Calibri"/>
          <w:b/>
          <w:bCs/>
          <w:lang w:val="cs-CZ"/>
        </w:rPr>
        <w:t>Tomáš Míček</w:t>
      </w:r>
      <w:r w:rsidRPr="00F93CA4">
        <w:rPr>
          <w:rFonts w:ascii="Calibri" w:eastAsia="Calibri" w:hAnsi="Calibri" w:cs="Calibri"/>
          <w:bCs/>
          <w:lang w:val="cs-CZ"/>
        </w:rPr>
        <w:t>.</w:t>
      </w:r>
    </w:p>
    <w:p w14:paraId="7D700F8F" w14:textId="77777777" w:rsidR="00F93CA4" w:rsidRPr="00F93CA4" w:rsidRDefault="00F93CA4" w:rsidP="00F93CA4">
      <w:pPr>
        <w:jc w:val="both"/>
        <w:rPr>
          <w:rFonts w:ascii="Calibri" w:eastAsia="Calibri" w:hAnsi="Calibri" w:cs="Calibri"/>
          <w:bCs/>
          <w:lang w:val="cs-CZ"/>
        </w:rPr>
      </w:pPr>
    </w:p>
    <w:p w14:paraId="4F11E592" w14:textId="0F463408" w:rsidR="00F93CA4" w:rsidRPr="00F93CA4" w:rsidRDefault="00F93CA4" w:rsidP="00F93CA4">
      <w:pPr>
        <w:jc w:val="both"/>
        <w:rPr>
          <w:rFonts w:ascii="Calibri" w:eastAsia="Calibri" w:hAnsi="Calibri" w:cs="Calibri"/>
          <w:b/>
          <w:bCs/>
          <w:lang w:val="cs-CZ"/>
        </w:rPr>
      </w:pPr>
      <w:r w:rsidRPr="00F93CA4">
        <w:rPr>
          <w:rFonts w:ascii="Calibri" w:eastAsia="Calibri" w:hAnsi="Calibri" w:cs="Calibri"/>
          <w:b/>
          <w:bCs/>
          <w:lang w:val="cs-CZ"/>
        </w:rPr>
        <w:t>I přes silný růst obratů nájemné výrazně nerostlo. Nájemci v současnosti zkouší vyjednávat lepší podmínky</w:t>
      </w:r>
    </w:p>
    <w:p w14:paraId="7CA0FF5B" w14:textId="0904ECA8" w:rsidR="00F93CA4" w:rsidRDefault="00F93CA4" w:rsidP="00F93CA4">
      <w:pPr>
        <w:jc w:val="both"/>
        <w:rPr>
          <w:rFonts w:ascii="Calibri" w:eastAsia="Calibri" w:hAnsi="Calibri" w:cs="Calibri"/>
          <w:bCs/>
          <w:lang w:val="cs-CZ"/>
        </w:rPr>
      </w:pPr>
      <w:r w:rsidRPr="00F93CA4">
        <w:rPr>
          <w:rFonts w:ascii="Calibri" w:eastAsia="Calibri" w:hAnsi="Calibri" w:cs="Calibri"/>
          <w:bCs/>
          <w:lang w:val="cs-CZ"/>
        </w:rPr>
        <w:t>Průměrná velikost jednotky v regionálních centrech v posledních pěti letec</w:t>
      </w:r>
      <w:r w:rsidR="00A57096">
        <w:rPr>
          <w:rFonts w:ascii="Calibri" w:eastAsia="Calibri" w:hAnsi="Calibri" w:cs="Calibri"/>
          <w:bCs/>
          <w:lang w:val="cs-CZ"/>
        </w:rPr>
        <w:t>h vzrostla o 7 %, takže</w:t>
      </w:r>
      <w:r w:rsidR="005F5682">
        <w:rPr>
          <w:rFonts w:ascii="Calibri" w:eastAsia="Calibri" w:hAnsi="Calibri" w:cs="Calibri"/>
          <w:bCs/>
          <w:lang w:val="cs-CZ"/>
        </w:rPr>
        <w:t> </w:t>
      </w:r>
      <w:r w:rsidR="00A57096">
        <w:rPr>
          <w:rFonts w:ascii="Calibri" w:eastAsia="Calibri" w:hAnsi="Calibri" w:cs="Calibri"/>
          <w:bCs/>
          <w:lang w:val="cs-CZ"/>
        </w:rPr>
        <w:t>aktuální</w:t>
      </w:r>
      <w:r w:rsidRPr="00F93CA4">
        <w:rPr>
          <w:rFonts w:ascii="Calibri" w:eastAsia="Calibri" w:hAnsi="Calibri" w:cs="Calibri"/>
          <w:bCs/>
          <w:lang w:val="cs-CZ"/>
        </w:rPr>
        <w:t xml:space="preserve"> průměrná prodejní plocha dosahuje 221 m</w:t>
      </w:r>
      <w:r w:rsidRPr="00F93CA4">
        <w:rPr>
          <w:rFonts w:ascii="Calibri" w:eastAsia="Calibri" w:hAnsi="Calibri" w:cs="Calibri"/>
          <w:bCs/>
          <w:vertAlign w:val="superscript"/>
          <w:lang w:val="cs-CZ"/>
        </w:rPr>
        <w:t>2</w:t>
      </w:r>
      <w:r w:rsidRPr="00F93CA4">
        <w:rPr>
          <w:rFonts w:ascii="Calibri" w:eastAsia="Calibri" w:hAnsi="Calibri" w:cs="Calibri"/>
          <w:bCs/>
          <w:lang w:val="cs-CZ"/>
        </w:rPr>
        <w:t>. Nicméně největší podíl (28 %) na</w:t>
      </w:r>
      <w:r w:rsidR="005F5682">
        <w:rPr>
          <w:rFonts w:ascii="Calibri" w:eastAsia="Calibri" w:hAnsi="Calibri" w:cs="Calibri"/>
          <w:bCs/>
          <w:lang w:val="cs-CZ"/>
        </w:rPr>
        <w:t> </w:t>
      </w:r>
      <w:r w:rsidRPr="00F93CA4">
        <w:rPr>
          <w:rFonts w:ascii="Calibri" w:eastAsia="Calibri" w:hAnsi="Calibri" w:cs="Calibri"/>
          <w:bCs/>
          <w:lang w:val="cs-CZ"/>
        </w:rPr>
        <w:t>pronajímané ploše mají stále jednotky nad 1 000 m</w:t>
      </w:r>
      <w:r w:rsidRPr="00F93CA4">
        <w:rPr>
          <w:rFonts w:ascii="Calibri" w:eastAsia="Calibri" w:hAnsi="Calibri" w:cs="Calibri"/>
          <w:bCs/>
          <w:vertAlign w:val="superscript"/>
          <w:lang w:val="cs-CZ"/>
        </w:rPr>
        <w:t>2</w:t>
      </w:r>
      <w:r w:rsidRPr="00F93CA4">
        <w:rPr>
          <w:rFonts w:ascii="Calibri" w:eastAsia="Calibri" w:hAnsi="Calibri" w:cs="Calibri"/>
          <w:bCs/>
          <w:lang w:val="cs-CZ"/>
        </w:rPr>
        <w:t xml:space="preserve">, čímž zůstává pozice kotevních nájemců velmi silná. </w:t>
      </w:r>
      <w:r w:rsidR="00EC435D">
        <w:rPr>
          <w:rFonts w:ascii="Calibri" w:eastAsia="Calibri" w:hAnsi="Calibri" w:cs="Calibri"/>
          <w:bCs/>
          <w:lang w:val="cs-CZ"/>
        </w:rPr>
        <w:t>P</w:t>
      </w:r>
      <w:r w:rsidRPr="00F93CA4">
        <w:rPr>
          <w:rFonts w:ascii="Calibri" w:eastAsia="Calibri" w:hAnsi="Calibri" w:cs="Calibri"/>
          <w:bCs/>
          <w:lang w:val="cs-CZ"/>
        </w:rPr>
        <w:t xml:space="preserve">okračující růst obratů v posledních šesti letech </w:t>
      </w:r>
      <w:r w:rsidR="00EC435D">
        <w:rPr>
          <w:rFonts w:ascii="Calibri" w:eastAsia="Calibri" w:hAnsi="Calibri" w:cs="Calibri"/>
          <w:bCs/>
          <w:lang w:val="cs-CZ"/>
        </w:rPr>
        <w:t>se výrazně nepromítl</w:t>
      </w:r>
      <w:r w:rsidRPr="00F93CA4">
        <w:rPr>
          <w:rFonts w:ascii="Calibri" w:eastAsia="Calibri" w:hAnsi="Calibri" w:cs="Calibri"/>
          <w:bCs/>
          <w:lang w:val="cs-CZ"/>
        </w:rPr>
        <w:t xml:space="preserve"> do zvýšení průměrného nájemného: v roce 2018 o pouhé 1 %, loni o 2,2 %. Nájemné nejvíce rostlo u prodejen ve velikosti do 200 m</w:t>
      </w:r>
      <w:r w:rsidRPr="00F93CA4">
        <w:rPr>
          <w:rFonts w:ascii="Calibri" w:eastAsia="Calibri" w:hAnsi="Calibri" w:cs="Calibri"/>
          <w:bCs/>
          <w:vertAlign w:val="superscript"/>
          <w:lang w:val="cs-CZ"/>
        </w:rPr>
        <w:t>2</w:t>
      </w:r>
      <w:r w:rsidRPr="00F93CA4">
        <w:rPr>
          <w:rFonts w:ascii="Calibri" w:eastAsia="Calibri" w:hAnsi="Calibri" w:cs="Calibri"/>
          <w:bCs/>
          <w:lang w:val="cs-CZ"/>
        </w:rPr>
        <w:t xml:space="preserve"> (cca o 10 %). Podíváme-li se na jednotlivé sektory, v roce 2019 byla nejvyšší dynamika růstu nájemného u prosperujících sektorů elektra (7 %) a služeb (6,8 %) – poskytovatelům kadeřnických a kosmetických služeb se dokonce zvýšil nájem o 14,6 % a</w:t>
      </w:r>
      <w:r w:rsidR="005F5682">
        <w:rPr>
          <w:rFonts w:ascii="Calibri" w:eastAsia="Calibri" w:hAnsi="Calibri" w:cs="Calibri"/>
          <w:bCs/>
          <w:lang w:val="cs-CZ"/>
        </w:rPr>
        <w:t> </w:t>
      </w:r>
      <w:r w:rsidRPr="00F93CA4">
        <w:rPr>
          <w:rFonts w:ascii="Calibri" w:eastAsia="Calibri" w:hAnsi="Calibri" w:cs="Calibri"/>
          <w:bCs/>
          <w:lang w:val="cs-CZ"/>
        </w:rPr>
        <w:t>cestovním kancelářím o 9,9 %. Naopak specializované oděvní značky, jejichž obraty v loňském roce poklesly, zaznamenaly snížení průměrného nájemného o 4 %.</w:t>
      </w:r>
    </w:p>
    <w:p w14:paraId="3E48FBAD" w14:textId="77777777" w:rsidR="00F93CA4" w:rsidRPr="00F93CA4" w:rsidRDefault="00F93CA4" w:rsidP="00F93CA4">
      <w:pPr>
        <w:jc w:val="both"/>
        <w:rPr>
          <w:rFonts w:ascii="Calibri" w:eastAsia="Calibri" w:hAnsi="Calibri" w:cs="Calibri"/>
          <w:bCs/>
          <w:lang w:val="cs-CZ"/>
        </w:rPr>
      </w:pPr>
    </w:p>
    <w:p w14:paraId="477146C9" w14:textId="4AE6F818" w:rsidR="00F93CA4" w:rsidRDefault="007F625F" w:rsidP="00F93CA4">
      <w:pPr>
        <w:jc w:val="both"/>
        <w:rPr>
          <w:rFonts w:ascii="Calibri" w:eastAsia="Calibri" w:hAnsi="Calibri" w:cs="Calibri"/>
          <w:bCs/>
          <w:lang w:val="cs-CZ"/>
        </w:rPr>
      </w:pPr>
      <w:r>
        <w:rPr>
          <w:rFonts w:ascii="Calibri" w:eastAsia="Calibri" w:hAnsi="Calibri" w:cs="Calibri"/>
          <w:bCs/>
          <w:i/>
          <w:lang w:val="cs-CZ"/>
        </w:rPr>
        <w:t>„Po znovu</w:t>
      </w:r>
      <w:r w:rsidR="00F93CA4" w:rsidRPr="00F93CA4">
        <w:rPr>
          <w:rFonts w:ascii="Calibri" w:eastAsia="Calibri" w:hAnsi="Calibri" w:cs="Calibri"/>
          <w:bCs/>
          <w:i/>
          <w:lang w:val="cs-CZ"/>
        </w:rPr>
        <w:t>otevření obchodních center vnímáme žádosti ze strany nájemců na úpravu výše nájemného formou slevy na nájemném na přechodnou dobu nebo s platností do konce roku. Pronajímatelé vyčkávají na ekonomické výsledky, kterých budou prodejci dosahovat, než</w:t>
      </w:r>
      <w:r w:rsidR="005F5682">
        <w:rPr>
          <w:rFonts w:ascii="Calibri" w:eastAsia="Calibri" w:hAnsi="Calibri" w:cs="Calibri"/>
          <w:bCs/>
          <w:i/>
          <w:lang w:val="cs-CZ"/>
        </w:rPr>
        <w:t> </w:t>
      </w:r>
      <w:r w:rsidR="00F93CA4" w:rsidRPr="00F93CA4">
        <w:rPr>
          <w:rFonts w:ascii="Calibri" w:eastAsia="Calibri" w:hAnsi="Calibri" w:cs="Calibri"/>
          <w:bCs/>
          <w:i/>
          <w:lang w:val="cs-CZ"/>
        </w:rPr>
        <w:t>se</w:t>
      </w:r>
      <w:r w:rsidR="005F5682">
        <w:rPr>
          <w:rFonts w:ascii="Calibri" w:eastAsia="Calibri" w:hAnsi="Calibri" w:cs="Calibri"/>
          <w:bCs/>
          <w:i/>
          <w:lang w:val="cs-CZ"/>
        </w:rPr>
        <w:t> </w:t>
      </w:r>
      <w:r w:rsidR="00F93CA4" w:rsidRPr="00F93CA4">
        <w:rPr>
          <w:rFonts w:ascii="Calibri" w:eastAsia="Calibri" w:hAnsi="Calibri" w:cs="Calibri"/>
          <w:bCs/>
          <w:i/>
          <w:lang w:val="cs-CZ"/>
        </w:rPr>
        <w:t>rozhodnou pro další postup,“</w:t>
      </w:r>
      <w:r w:rsidR="00F93CA4" w:rsidRPr="00F93CA4">
        <w:rPr>
          <w:rFonts w:ascii="Calibri" w:eastAsia="Calibri" w:hAnsi="Calibri" w:cs="Calibri"/>
          <w:bCs/>
          <w:lang w:val="cs-CZ"/>
        </w:rPr>
        <w:t xml:space="preserve"> popisuje </w:t>
      </w:r>
      <w:r w:rsidR="00F93CA4" w:rsidRPr="00F93CA4">
        <w:rPr>
          <w:rFonts w:ascii="Calibri" w:eastAsia="Calibri" w:hAnsi="Calibri" w:cs="Calibri"/>
          <w:b/>
          <w:bCs/>
          <w:lang w:val="cs-CZ"/>
        </w:rPr>
        <w:t xml:space="preserve">Milan </w:t>
      </w:r>
      <w:proofErr w:type="spellStart"/>
      <w:r w:rsidR="00F93CA4" w:rsidRPr="00F93CA4">
        <w:rPr>
          <w:rFonts w:ascii="Calibri" w:eastAsia="Calibri" w:hAnsi="Calibri" w:cs="Calibri"/>
          <w:b/>
          <w:bCs/>
          <w:lang w:val="cs-CZ"/>
        </w:rPr>
        <w:t>Mašša</w:t>
      </w:r>
      <w:proofErr w:type="spellEnd"/>
      <w:r w:rsidR="00F93CA4" w:rsidRPr="00F93CA4">
        <w:rPr>
          <w:rFonts w:ascii="Calibri" w:eastAsia="Calibri" w:hAnsi="Calibri" w:cs="Calibri"/>
          <w:b/>
          <w:bCs/>
          <w:lang w:val="cs-CZ"/>
        </w:rPr>
        <w:t>, vedoucí týmu pronájmu maloobchodních prostor v CBRE</w:t>
      </w:r>
      <w:r w:rsidR="00F93CA4" w:rsidRPr="00F93CA4">
        <w:rPr>
          <w:rFonts w:ascii="Calibri" w:eastAsia="Calibri" w:hAnsi="Calibri" w:cs="Calibri"/>
          <w:bCs/>
          <w:lang w:val="cs-CZ"/>
        </w:rPr>
        <w:t>.</w:t>
      </w:r>
    </w:p>
    <w:p w14:paraId="10EBE2CF" w14:textId="77777777" w:rsidR="00F93CA4" w:rsidRPr="00F93CA4" w:rsidRDefault="00F93CA4" w:rsidP="00F93CA4">
      <w:pPr>
        <w:jc w:val="both"/>
        <w:rPr>
          <w:rFonts w:ascii="Calibri" w:eastAsia="Calibri" w:hAnsi="Calibri" w:cs="Calibri"/>
          <w:bCs/>
          <w:lang w:val="cs-CZ"/>
        </w:rPr>
      </w:pPr>
    </w:p>
    <w:p w14:paraId="5FB56941" w14:textId="3C560EAF" w:rsidR="00F93CA4" w:rsidRDefault="00F93CA4" w:rsidP="00F93CA4">
      <w:pPr>
        <w:jc w:val="both"/>
        <w:rPr>
          <w:rFonts w:ascii="Calibri" w:eastAsia="Calibri" w:hAnsi="Calibri" w:cs="Calibri"/>
          <w:bCs/>
          <w:lang w:val="cs-CZ"/>
        </w:rPr>
      </w:pPr>
      <w:r w:rsidRPr="00F93CA4">
        <w:rPr>
          <w:rFonts w:ascii="Calibri" w:eastAsia="Calibri" w:hAnsi="Calibri" w:cs="Calibri"/>
          <w:bCs/>
          <w:lang w:val="cs-CZ"/>
        </w:rPr>
        <w:lastRenderedPageBreak/>
        <w:t xml:space="preserve">Průměrná míra neobsazenosti obchodních center byla loni stabilní a v závěru roku dosáhla 3,5 %. </w:t>
      </w:r>
      <w:r w:rsidRPr="00F93CA4">
        <w:rPr>
          <w:rFonts w:ascii="Calibri" w:eastAsia="Calibri" w:hAnsi="Calibri" w:cs="Calibri"/>
          <w:bCs/>
          <w:i/>
          <w:lang w:val="cs-CZ"/>
        </w:rPr>
        <w:t>„Negativní scénáře, které předpokládaly, že až 30 % nájemců po karanténě znovu neotevře, se</w:t>
      </w:r>
      <w:r w:rsidR="005F5682">
        <w:rPr>
          <w:rFonts w:ascii="Calibri" w:eastAsia="Calibri" w:hAnsi="Calibri" w:cs="Calibri"/>
          <w:bCs/>
          <w:i/>
          <w:lang w:val="cs-CZ"/>
        </w:rPr>
        <w:t> </w:t>
      </w:r>
      <w:r w:rsidRPr="00F93CA4">
        <w:rPr>
          <w:rFonts w:ascii="Calibri" w:eastAsia="Calibri" w:hAnsi="Calibri" w:cs="Calibri"/>
          <w:bCs/>
          <w:i/>
          <w:lang w:val="cs-CZ"/>
        </w:rPr>
        <w:t xml:space="preserve">nepotvrdily. Sledujeme, že se jedná </w:t>
      </w:r>
      <w:r w:rsidR="007F625F" w:rsidRPr="00F93CA4">
        <w:rPr>
          <w:rFonts w:ascii="Calibri" w:eastAsia="Calibri" w:hAnsi="Calibri" w:cs="Calibri"/>
          <w:bCs/>
          <w:i/>
          <w:lang w:val="cs-CZ"/>
        </w:rPr>
        <w:t xml:space="preserve">spíše </w:t>
      </w:r>
      <w:r w:rsidRPr="00F93CA4">
        <w:rPr>
          <w:rFonts w:ascii="Calibri" w:eastAsia="Calibri" w:hAnsi="Calibri" w:cs="Calibri"/>
          <w:bCs/>
          <w:i/>
          <w:lang w:val="cs-CZ"/>
        </w:rPr>
        <w:t>o jednotky obchodů. Nájemci přesto vyčkávají s další expanzí. Je tudíž důležité zvážit podporu nájemců, kteří balancují na hraně, protože za ně bude časově náročnější najít náhradu,“</w:t>
      </w:r>
      <w:r w:rsidRPr="00F93CA4">
        <w:rPr>
          <w:rFonts w:ascii="Calibri" w:eastAsia="Calibri" w:hAnsi="Calibri" w:cs="Calibri"/>
          <w:bCs/>
          <w:lang w:val="cs-CZ"/>
        </w:rPr>
        <w:t xml:space="preserve"> vysvětluje </w:t>
      </w:r>
      <w:r w:rsidRPr="00F93CA4">
        <w:rPr>
          <w:rFonts w:ascii="Calibri" w:eastAsia="Calibri" w:hAnsi="Calibri" w:cs="Calibri"/>
          <w:b/>
          <w:bCs/>
          <w:lang w:val="cs-CZ"/>
        </w:rPr>
        <w:t xml:space="preserve">Milan </w:t>
      </w:r>
      <w:proofErr w:type="spellStart"/>
      <w:r w:rsidRPr="00F93CA4">
        <w:rPr>
          <w:rFonts w:ascii="Calibri" w:eastAsia="Calibri" w:hAnsi="Calibri" w:cs="Calibri"/>
          <w:b/>
          <w:bCs/>
          <w:lang w:val="cs-CZ"/>
        </w:rPr>
        <w:t>Mašša</w:t>
      </w:r>
      <w:proofErr w:type="spellEnd"/>
      <w:r w:rsidRPr="00F93CA4">
        <w:rPr>
          <w:rFonts w:ascii="Calibri" w:eastAsia="Calibri" w:hAnsi="Calibri" w:cs="Calibri"/>
          <w:bCs/>
          <w:lang w:val="cs-CZ"/>
        </w:rPr>
        <w:t>.</w:t>
      </w:r>
    </w:p>
    <w:p w14:paraId="4468D333" w14:textId="77777777" w:rsidR="00F93CA4" w:rsidRPr="00F93CA4" w:rsidRDefault="00F93CA4" w:rsidP="00F93CA4">
      <w:pPr>
        <w:jc w:val="both"/>
        <w:rPr>
          <w:rFonts w:ascii="Calibri" w:eastAsia="Calibri" w:hAnsi="Calibri" w:cs="Calibri"/>
          <w:bCs/>
          <w:lang w:val="cs-CZ"/>
        </w:rPr>
      </w:pPr>
    </w:p>
    <w:p w14:paraId="4D93D374" w14:textId="77777777" w:rsidR="00F93CA4" w:rsidRPr="00F93CA4" w:rsidRDefault="00F93CA4" w:rsidP="00F93CA4">
      <w:pPr>
        <w:jc w:val="both"/>
        <w:rPr>
          <w:rFonts w:ascii="Calibri" w:eastAsia="Calibri" w:hAnsi="Calibri" w:cs="Calibri"/>
          <w:b/>
          <w:bCs/>
          <w:lang w:val="cs-CZ"/>
        </w:rPr>
      </w:pPr>
      <w:r w:rsidRPr="00F93CA4">
        <w:rPr>
          <w:rFonts w:ascii="Calibri" w:eastAsia="Calibri" w:hAnsi="Calibri" w:cs="Calibri"/>
          <w:b/>
          <w:bCs/>
          <w:lang w:val="cs-CZ"/>
        </w:rPr>
        <w:t>Investiční projekty obchodních center jsou zatím odloženy</w:t>
      </w:r>
    </w:p>
    <w:p w14:paraId="3B23F81C" w14:textId="1E1903EB" w:rsidR="00F93CA4" w:rsidRDefault="00F93CA4" w:rsidP="00F93CA4">
      <w:pPr>
        <w:jc w:val="both"/>
        <w:rPr>
          <w:rFonts w:ascii="Calibri" w:eastAsia="Calibri" w:hAnsi="Calibri" w:cs="Calibri"/>
          <w:bCs/>
          <w:lang w:val="cs-CZ"/>
        </w:rPr>
      </w:pPr>
      <w:r w:rsidRPr="00F93CA4">
        <w:rPr>
          <w:rFonts w:ascii="Calibri" w:eastAsia="Calibri" w:hAnsi="Calibri" w:cs="Calibri"/>
          <w:bCs/>
          <w:i/>
          <w:lang w:val="cs-CZ"/>
        </w:rPr>
        <w:t xml:space="preserve">„Projekty nových obchodních center anebo jejich </w:t>
      </w:r>
      <w:proofErr w:type="spellStart"/>
      <w:r w:rsidRPr="00F93CA4">
        <w:rPr>
          <w:rFonts w:ascii="Calibri" w:eastAsia="Calibri" w:hAnsi="Calibri" w:cs="Calibri"/>
          <w:bCs/>
          <w:i/>
          <w:lang w:val="cs-CZ"/>
        </w:rPr>
        <w:t>remodelling</w:t>
      </w:r>
      <w:proofErr w:type="spellEnd"/>
      <w:r w:rsidRPr="00F93CA4">
        <w:rPr>
          <w:rFonts w:ascii="Calibri" w:eastAsia="Calibri" w:hAnsi="Calibri" w:cs="Calibri"/>
          <w:bCs/>
          <w:i/>
          <w:lang w:val="cs-CZ"/>
        </w:rPr>
        <w:t>, které dosud nebyly ve fázi realizace, jsou ve většině případů odloženy na následující rok, aby se využil čas na případnou revizi plánů. Teprve příští měsíce ukážou, zda je jejich rozsah stále aktuální, anebo si v rámci maximalizace výkonu vyžaduje dodatečné změny,“</w:t>
      </w:r>
      <w:r w:rsidRPr="00F93CA4">
        <w:rPr>
          <w:rFonts w:ascii="Calibri" w:eastAsia="Calibri" w:hAnsi="Calibri" w:cs="Calibri"/>
          <w:bCs/>
          <w:lang w:val="cs-CZ"/>
        </w:rPr>
        <w:t xml:space="preserve"> uzavírá </w:t>
      </w:r>
      <w:r w:rsidRPr="00F93CA4">
        <w:rPr>
          <w:rFonts w:ascii="Calibri" w:eastAsia="Calibri" w:hAnsi="Calibri" w:cs="Calibri"/>
          <w:b/>
          <w:bCs/>
          <w:lang w:val="cs-CZ"/>
        </w:rPr>
        <w:t xml:space="preserve">Katarína </w:t>
      </w:r>
      <w:proofErr w:type="spellStart"/>
      <w:r w:rsidRPr="00F93CA4">
        <w:rPr>
          <w:rFonts w:ascii="Calibri" w:eastAsia="Calibri" w:hAnsi="Calibri" w:cs="Calibri"/>
          <w:b/>
          <w:bCs/>
          <w:lang w:val="cs-CZ"/>
        </w:rPr>
        <w:t>Brydone</w:t>
      </w:r>
      <w:proofErr w:type="spellEnd"/>
      <w:r w:rsidRPr="00F93CA4">
        <w:rPr>
          <w:rFonts w:ascii="Calibri" w:eastAsia="Calibri" w:hAnsi="Calibri" w:cs="Calibri"/>
          <w:b/>
          <w:bCs/>
          <w:lang w:val="cs-CZ"/>
        </w:rPr>
        <w:t>, vedoucí týmu investic do</w:t>
      </w:r>
      <w:r w:rsidR="005F5682">
        <w:rPr>
          <w:rFonts w:ascii="Calibri" w:eastAsia="Calibri" w:hAnsi="Calibri" w:cs="Calibri"/>
          <w:b/>
          <w:bCs/>
          <w:lang w:val="cs-CZ"/>
        </w:rPr>
        <w:t> </w:t>
      </w:r>
      <w:r w:rsidRPr="00F93CA4">
        <w:rPr>
          <w:rFonts w:ascii="Calibri" w:eastAsia="Calibri" w:hAnsi="Calibri" w:cs="Calibri"/>
          <w:b/>
          <w:bCs/>
          <w:lang w:val="cs-CZ"/>
        </w:rPr>
        <w:t>nemovitostí v CBRE</w:t>
      </w:r>
      <w:r w:rsidRPr="00F93CA4">
        <w:rPr>
          <w:rFonts w:ascii="Calibri" w:eastAsia="Calibri" w:hAnsi="Calibri" w:cs="Calibri"/>
          <w:bCs/>
          <w:lang w:val="cs-CZ"/>
        </w:rPr>
        <w:t>.</w:t>
      </w:r>
    </w:p>
    <w:p w14:paraId="28CE68C2" w14:textId="77777777" w:rsidR="00F93CA4" w:rsidRPr="00F93CA4" w:rsidRDefault="00F93CA4" w:rsidP="00F93CA4">
      <w:pPr>
        <w:jc w:val="both"/>
        <w:rPr>
          <w:rFonts w:ascii="Calibri" w:eastAsia="Calibri" w:hAnsi="Calibri" w:cs="Calibri"/>
          <w:bCs/>
          <w:lang w:val="cs-CZ"/>
        </w:rPr>
      </w:pPr>
    </w:p>
    <w:p w14:paraId="6DF22462" w14:textId="77777777" w:rsidR="00F93CA4" w:rsidRPr="00F93CA4" w:rsidRDefault="00F93CA4" w:rsidP="00F93CA4">
      <w:pPr>
        <w:jc w:val="both"/>
        <w:rPr>
          <w:rFonts w:ascii="Calibri" w:eastAsia="Calibri" w:hAnsi="Calibri" w:cs="Calibri"/>
          <w:bCs/>
          <w:sz w:val="20"/>
          <w:szCs w:val="20"/>
          <w:u w:val="single"/>
          <w:lang w:val="cs-CZ"/>
        </w:rPr>
      </w:pPr>
      <w:r w:rsidRPr="00F93CA4">
        <w:rPr>
          <w:rFonts w:ascii="Calibri" w:eastAsia="Calibri" w:hAnsi="Calibri" w:cs="Calibri"/>
          <w:bCs/>
          <w:sz w:val="20"/>
          <w:szCs w:val="20"/>
          <w:u w:val="single"/>
          <w:lang w:val="cs-CZ"/>
        </w:rPr>
        <w:t>O Shopping Centre Indexu</w:t>
      </w:r>
    </w:p>
    <w:p w14:paraId="7D6AB81D" w14:textId="7ED82F95" w:rsidR="00F93CA4" w:rsidRPr="00F93CA4" w:rsidRDefault="00F93CA4" w:rsidP="00F93CA4">
      <w:pPr>
        <w:jc w:val="both"/>
        <w:rPr>
          <w:rFonts w:ascii="Calibri" w:eastAsia="Calibri" w:hAnsi="Calibri" w:cs="Calibri"/>
          <w:bCs/>
          <w:sz w:val="20"/>
          <w:szCs w:val="20"/>
          <w:lang w:val="cs-CZ"/>
        </w:rPr>
      </w:pPr>
      <w:r w:rsidRPr="00F93CA4">
        <w:rPr>
          <w:rFonts w:ascii="Calibri" w:eastAsia="Calibri" w:hAnsi="Calibri" w:cs="Calibri"/>
          <w:bCs/>
          <w:sz w:val="20"/>
          <w:szCs w:val="20"/>
          <w:lang w:val="cs-CZ"/>
        </w:rPr>
        <w:t>CBRE Shopping Centre Index je jediným tržním ukazatelem, který sleduje výkonnost českých regionálních nákupních center v České republice. Analyzuje vzorek 20 nákupních center v regionech České republiky (kromě Prahy), který</w:t>
      </w:r>
      <w:r w:rsidR="00BA6BCA">
        <w:rPr>
          <w:rFonts w:ascii="Calibri" w:eastAsia="Calibri" w:hAnsi="Calibri" w:cs="Calibri"/>
          <w:bCs/>
          <w:sz w:val="20"/>
          <w:szCs w:val="20"/>
          <w:lang w:val="cs-CZ"/>
        </w:rPr>
        <w:t> </w:t>
      </w:r>
      <w:r w:rsidRPr="00F93CA4">
        <w:rPr>
          <w:rFonts w:ascii="Calibri" w:eastAsia="Calibri" w:hAnsi="Calibri" w:cs="Calibri"/>
          <w:bCs/>
          <w:sz w:val="20"/>
          <w:szCs w:val="20"/>
          <w:lang w:val="cs-CZ"/>
        </w:rPr>
        <w:t>představuje více než 570 000 m</w:t>
      </w:r>
      <w:r w:rsidRPr="00A01EA7">
        <w:rPr>
          <w:rFonts w:ascii="Calibri" w:eastAsia="Calibri" w:hAnsi="Calibri" w:cs="Calibri"/>
          <w:bCs/>
          <w:sz w:val="20"/>
          <w:szCs w:val="20"/>
          <w:vertAlign w:val="superscript"/>
          <w:lang w:val="cs-CZ"/>
        </w:rPr>
        <w:t>2</w:t>
      </w:r>
      <w:r w:rsidRPr="00F93CA4">
        <w:rPr>
          <w:rFonts w:ascii="Calibri" w:eastAsia="Calibri" w:hAnsi="Calibri" w:cs="Calibri"/>
          <w:bCs/>
          <w:sz w:val="20"/>
          <w:szCs w:val="20"/>
          <w:lang w:val="cs-CZ"/>
        </w:rPr>
        <w:t xml:space="preserve"> maloobchodních ploch. To je více než 35 % objemu nákupních centrech v</w:t>
      </w:r>
      <w:r w:rsidR="00BA6BCA">
        <w:rPr>
          <w:rFonts w:ascii="Calibri" w:eastAsia="Calibri" w:hAnsi="Calibri" w:cs="Calibri"/>
          <w:bCs/>
          <w:sz w:val="20"/>
          <w:szCs w:val="20"/>
          <w:lang w:val="cs-CZ"/>
        </w:rPr>
        <w:t> </w:t>
      </w:r>
      <w:r w:rsidRPr="00F93CA4">
        <w:rPr>
          <w:rFonts w:ascii="Calibri" w:eastAsia="Calibri" w:hAnsi="Calibri" w:cs="Calibri"/>
          <w:bCs/>
          <w:sz w:val="20"/>
          <w:szCs w:val="20"/>
          <w:lang w:val="cs-CZ"/>
        </w:rPr>
        <w:t>regionech, které v loňském roce navštívilo celkem 93 milionů zákazníků. Průměrné regionální obchodní centrum disponuje pronajímatelnou plochou 28 500 m</w:t>
      </w:r>
      <w:r w:rsidRPr="00A01EA7">
        <w:rPr>
          <w:rFonts w:ascii="Calibri" w:eastAsia="Calibri" w:hAnsi="Calibri" w:cs="Calibri"/>
          <w:bCs/>
          <w:sz w:val="20"/>
          <w:szCs w:val="20"/>
          <w:vertAlign w:val="superscript"/>
          <w:lang w:val="cs-CZ"/>
        </w:rPr>
        <w:t>2</w:t>
      </w:r>
      <w:r w:rsidRPr="00F93CA4">
        <w:rPr>
          <w:rFonts w:ascii="Calibri" w:eastAsia="Calibri" w:hAnsi="Calibri" w:cs="Calibri"/>
          <w:bCs/>
          <w:sz w:val="20"/>
          <w:szCs w:val="20"/>
          <w:lang w:val="cs-CZ"/>
        </w:rPr>
        <w:t xml:space="preserve">. Přibližně 70 až 85 % plochy tvoří nákupní galerie, zbytek zaujímají potravinové řetězce a multiplex, který se nachází až ve třetině center. Právě segmenty hypermarketů a supermarketů a dále multikin nejsou součástí indexu, protože by mohly způsobit zkreslení výsledků. </w:t>
      </w:r>
    </w:p>
    <w:p w14:paraId="11959F68" w14:textId="77777777" w:rsidR="00F93CA4" w:rsidRPr="00F93CA4" w:rsidRDefault="00F93CA4" w:rsidP="00F93CA4">
      <w:pPr>
        <w:jc w:val="both"/>
        <w:rPr>
          <w:rFonts w:ascii="Calibri" w:eastAsia="Calibri" w:hAnsi="Calibri" w:cs="Calibri"/>
          <w:bCs/>
          <w:sz w:val="20"/>
          <w:szCs w:val="20"/>
          <w:lang w:val="cs-CZ"/>
        </w:rPr>
      </w:pPr>
    </w:p>
    <w:p w14:paraId="02261BC3" w14:textId="77777777" w:rsidR="00F93CA4" w:rsidRPr="00F93CA4" w:rsidRDefault="00F93CA4" w:rsidP="00F93CA4">
      <w:pPr>
        <w:jc w:val="both"/>
        <w:rPr>
          <w:rFonts w:ascii="Calibri" w:eastAsia="Calibri" w:hAnsi="Calibri" w:cs="Calibri"/>
          <w:bCs/>
          <w:sz w:val="20"/>
          <w:szCs w:val="20"/>
          <w:u w:val="single"/>
          <w:lang w:val="cs-CZ"/>
        </w:rPr>
      </w:pPr>
      <w:r w:rsidRPr="00F93CA4">
        <w:rPr>
          <w:rFonts w:ascii="Calibri" w:eastAsia="Calibri" w:hAnsi="Calibri" w:cs="Calibri"/>
          <w:bCs/>
          <w:sz w:val="20"/>
          <w:szCs w:val="20"/>
          <w:u w:val="single"/>
          <w:lang w:val="cs-CZ"/>
        </w:rPr>
        <w:t>O CBRE Retail</w:t>
      </w:r>
    </w:p>
    <w:p w14:paraId="70147342" w14:textId="622C16D5" w:rsidR="00A64564" w:rsidRPr="00F93CA4" w:rsidRDefault="00F93CA4" w:rsidP="00F93CA4">
      <w:pPr>
        <w:jc w:val="both"/>
        <w:rPr>
          <w:rFonts w:ascii="Calibri" w:eastAsia="Calibri" w:hAnsi="Calibri" w:cs="Calibri"/>
          <w:bCs/>
          <w:sz w:val="20"/>
          <w:szCs w:val="20"/>
          <w:lang w:val="cs-CZ"/>
        </w:rPr>
      </w:pPr>
      <w:r w:rsidRPr="00F93CA4">
        <w:rPr>
          <w:rFonts w:ascii="Calibri" w:eastAsia="Calibri" w:hAnsi="Calibri" w:cs="Calibri"/>
          <w:bCs/>
          <w:sz w:val="20"/>
          <w:szCs w:val="20"/>
          <w:lang w:val="cs-CZ"/>
        </w:rPr>
        <w:t>CBRE je expertem a největším správcem maloobchodních ploch v České republice: aktuálně má ve správě 27 retailových nemovitostí s cca 500 000 m</w:t>
      </w:r>
      <w:r w:rsidRPr="00A01EA7">
        <w:rPr>
          <w:rFonts w:ascii="Calibri" w:eastAsia="Calibri" w:hAnsi="Calibri" w:cs="Calibri"/>
          <w:bCs/>
          <w:sz w:val="20"/>
          <w:szCs w:val="20"/>
          <w:vertAlign w:val="superscript"/>
          <w:lang w:val="cs-CZ"/>
        </w:rPr>
        <w:t>2</w:t>
      </w:r>
      <w:r w:rsidRPr="00F93CA4">
        <w:rPr>
          <w:rFonts w:ascii="Calibri" w:eastAsia="Calibri" w:hAnsi="Calibri" w:cs="Calibri"/>
          <w:bCs/>
          <w:sz w:val="20"/>
          <w:szCs w:val="20"/>
          <w:lang w:val="cs-CZ"/>
        </w:rPr>
        <w:t xml:space="preserve"> maloobchodních ploch. Poskytuje rozsáhlé a komplexní poradenství v</w:t>
      </w:r>
      <w:r w:rsidR="00BA6BCA">
        <w:rPr>
          <w:rFonts w:ascii="Calibri" w:eastAsia="Calibri" w:hAnsi="Calibri" w:cs="Calibri"/>
          <w:bCs/>
          <w:sz w:val="20"/>
          <w:szCs w:val="20"/>
          <w:lang w:val="cs-CZ"/>
        </w:rPr>
        <w:t> </w:t>
      </w:r>
      <w:r w:rsidRPr="00F93CA4">
        <w:rPr>
          <w:rFonts w:ascii="Calibri" w:eastAsia="Calibri" w:hAnsi="Calibri" w:cs="Calibri"/>
          <w:bCs/>
          <w:sz w:val="20"/>
          <w:szCs w:val="20"/>
          <w:lang w:val="cs-CZ"/>
        </w:rPr>
        <w:t>oblasti nákupu a prodeje maloobchodních aktiv, pronájmu maloobchodních prostor, zastupování nájemců při</w:t>
      </w:r>
      <w:r w:rsidR="00BA6BCA">
        <w:rPr>
          <w:rFonts w:ascii="Calibri" w:eastAsia="Calibri" w:hAnsi="Calibri" w:cs="Calibri"/>
          <w:bCs/>
          <w:sz w:val="20"/>
          <w:szCs w:val="20"/>
          <w:lang w:val="cs-CZ"/>
        </w:rPr>
        <w:t> </w:t>
      </w:r>
      <w:r w:rsidRPr="00F93CA4">
        <w:rPr>
          <w:rFonts w:ascii="Calibri" w:eastAsia="Calibri" w:hAnsi="Calibri" w:cs="Calibri"/>
          <w:bCs/>
          <w:sz w:val="20"/>
          <w:szCs w:val="20"/>
          <w:lang w:val="cs-CZ"/>
        </w:rPr>
        <w:t>vstupu na český trh nebo optimalizaci sítě prodejen, a dále správu, marketing a koncept design nákupních center a retail parků. V neposlední řadě je lídrem v průzkumu maloobchodního trhu a chování zákazníků.</w:t>
      </w:r>
    </w:p>
    <w:p w14:paraId="1ABDADEE" w14:textId="77777777" w:rsidR="00A64564" w:rsidRDefault="00A64564" w:rsidP="00A64564">
      <w:pPr>
        <w:jc w:val="both"/>
        <w:rPr>
          <w:rFonts w:ascii="Calibri" w:eastAsia="Calibri" w:hAnsi="Calibri" w:cs="Calibri"/>
          <w:bCs/>
          <w:lang w:val="cs-CZ"/>
        </w:rPr>
      </w:pPr>
    </w:p>
    <w:p w14:paraId="519CEA3F" w14:textId="77777777" w:rsidR="00A01EA7" w:rsidRPr="003A03CD" w:rsidRDefault="00A01EA7" w:rsidP="00A01EA7">
      <w:pPr>
        <w:jc w:val="both"/>
        <w:rPr>
          <w:rFonts w:ascii="Calibri" w:eastAsia="Calibri" w:hAnsi="Calibri" w:cs="Calibri"/>
          <w:b/>
          <w:bCs/>
          <w:sz w:val="22"/>
          <w:szCs w:val="22"/>
          <w:lang w:val="cs-CZ"/>
        </w:rPr>
      </w:pPr>
      <w:r w:rsidRPr="003A03CD">
        <w:rPr>
          <w:rFonts w:ascii="Calibri" w:eastAsia="Calibri" w:hAnsi="Calibri" w:cs="Calibri"/>
          <w:b/>
          <w:bCs/>
          <w:sz w:val="22"/>
          <w:szCs w:val="22"/>
          <w:lang w:val="cs-CZ"/>
        </w:rPr>
        <w:t>Kontakt:</w:t>
      </w:r>
    </w:p>
    <w:p w14:paraId="0BD35B7D" w14:textId="77777777" w:rsidR="00A01EA7" w:rsidRPr="003A03CD" w:rsidRDefault="00A01EA7" w:rsidP="00A01EA7">
      <w:pPr>
        <w:shd w:val="clear" w:color="auto" w:fill="FFFFFF"/>
        <w:spacing w:line="276" w:lineRule="auto"/>
        <w:rPr>
          <w:rFonts w:ascii="Calibri" w:eastAsia="Times New Roman" w:hAnsi="Calibri" w:cs="Calibri"/>
          <w:color w:val="auto"/>
          <w:sz w:val="22"/>
          <w:szCs w:val="22"/>
          <w:bdr w:val="none" w:sz="0" w:space="0" w:color="auto"/>
          <w:lang w:val="cs-CZ"/>
        </w:rPr>
      </w:pPr>
      <w:proofErr w:type="spellStart"/>
      <w:r w:rsidRPr="003A03CD">
        <w:rPr>
          <w:rFonts w:ascii="Calibri" w:eastAsia="Times New Roman" w:hAnsi="Calibri" w:cs="Calibri"/>
          <w:b/>
          <w:bCs/>
          <w:color w:val="auto"/>
          <w:sz w:val="22"/>
          <w:szCs w:val="22"/>
          <w:bdr w:val="none" w:sz="0" w:space="0" w:color="auto"/>
          <w:lang w:val="cs-CZ"/>
        </w:rPr>
        <w:t>Crest</w:t>
      </w:r>
      <w:proofErr w:type="spellEnd"/>
      <w:r w:rsidRPr="003A03CD">
        <w:rPr>
          <w:rFonts w:ascii="Calibri" w:eastAsia="Times New Roman" w:hAnsi="Calibri" w:cs="Calibri"/>
          <w:b/>
          <w:bCs/>
          <w:color w:val="auto"/>
          <w:sz w:val="22"/>
          <w:szCs w:val="22"/>
          <w:bdr w:val="none" w:sz="0" w:space="0" w:color="auto"/>
          <w:lang w:val="cs-CZ"/>
        </w:rPr>
        <w:t xml:space="preserve"> Communications, a.s.</w:t>
      </w:r>
      <w:r w:rsidRPr="003A03CD">
        <w:rPr>
          <w:rFonts w:ascii="Calibri" w:eastAsia="Times New Roman" w:hAnsi="Calibri" w:cs="Calibri"/>
          <w:b/>
          <w:bCs/>
          <w:color w:val="auto"/>
          <w:sz w:val="22"/>
          <w:szCs w:val="22"/>
          <w:bdr w:val="none" w:sz="0" w:space="0" w:color="auto"/>
          <w:lang w:val="cs-CZ"/>
        </w:rPr>
        <w:br/>
      </w:r>
      <w:r w:rsidRPr="003A03CD">
        <w:rPr>
          <w:rFonts w:ascii="Calibri" w:eastAsia="Times New Roman" w:hAnsi="Calibri" w:cs="Calibri"/>
          <w:color w:val="auto"/>
          <w:sz w:val="22"/>
          <w:szCs w:val="22"/>
          <w:bdr w:val="none" w:sz="0" w:space="0" w:color="auto"/>
          <w:lang w:val="cs-CZ"/>
        </w:rPr>
        <w:t>Denisa Kolaříková</w:t>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t>Kamila Čadková</w:t>
      </w:r>
      <w:r w:rsidRPr="003A03CD">
        <w:rPr>
          <w:rFonts w:ascii="Calibri" w:eastAsia="Times New Roman" w:hAnsi="Calibri" w:cs="Calibri"/>
          <w:color w:val="auto"/>
          <w:sz w:val="22"/>
          <w:szCs w:val="22"/>
          <w:bdr w:val="none" w:sz="0" w:space="0" w:color="auto"/>
          <w:lang w:val="cs-CZ"/>
        </w:rPr>
        <w:br/>
      </w:r>
      <w:proofErr w:type="spellStart"/>
      <w:r w:rsidRPr="003A03CD">
        <w:rPr>
          <w:rFonts w:ascii="Calibri" w:eastAsia="Times New Roman" w:hAnsi="Calibri" w:cs="Calibri"/>
          <w:color w:val="auto"/>
          <w:sz w:val="22"/>
          <w:szCs w:val="22"/>
          <w:bdr w:val="none" w:sz="0" w:space="0" w:color="auto"/>
          <w:lang w:val="cs-CZ"/>
        </w:rPr>
        <w:t>Account</w:t>
      </w:r>
      <w:proofErr w:type="spellEnd"/>
      <w:r w:rsidRPr="003A03CD">
        <w:rPr>
          <w:rFonts w:ascii="Calibri" w:eastAsia="Times New Roman" w:hAnsi="Calibri" w:cs="Calibri"/>
          <w:color w:val="auto"/>
          <w:sz w:val="22"/>
          <w:szCs w:val="22"/>
          <w:bdr w:val="none" w:sz="0" w:space="0" w:color="auto"/>
          <w:lang w:val="cs-CZ"/>
        </w:rPr>
        <w:t xml:space="preserve"> </w:t>
      </w:r>
      <w:proofErr w:type="spellStart"/>
      <w:r w:rsidRPr="003A03CD">
        <w:rPr>
          <w:rFonts w:ascii="Calibri" w:eastAsia="Times New Roman" w:hAnsi="Calibri" w:cs="Calibri"/>
          <w:color w:val="auto"/>
          <w:sz w:val="22"/>
          <w:szCs w:val="22"/>
          <w:bdr w:val="none" w:sz="0" w:space="0" w:color="auto"/>
          <w:lang w:val="cs-CZ"/>
        </w:rPr>
        <w:t>Manager</w:t>
      </w:r>
      <w:proofErr w:type="spellEnd"/>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proofErr w:type="spellStart"/>
      <w:r w:rsidRPr="003A03CD">
        <w:rPr>
          <w:rFonts w:ascii="Calibri" w:eastAsia="Times New Roman" w:hAnsi="Calibri" w:cs="Calibri"/>
          <w:color w:val="auto"/>
          <w:sz w:val="22"/>
          <w:szCs w:val="22"/>
          <w:bdr w:val="none" w:sz="0" w:space="0" w:color="auto"/>
          <w:lang w:val="cs-CZ"/>
        </w:rPr>
        <w:t>Account</w:t>
      </w:r>
      <w:proofErr w:type="spellEnd"/>
      <w:r w:rsidRPr="003A03CD">
        <w:rPr>
          <w:rFonts w:ascii="Calibri" w:eastAsia="Times New Roman" w:hAnsi="Calibri" w:cs="Calibri"/>
          <w:color w:val="auto"/>
          <w:sz w:val="22"/>
          <w:szCs w:val="22"/>
          <w:bdr w:val="none" w:sz="0" w:space="0" w:color="auto"/>
          <w:lang w:val="cs-CZ"/>
        </w:rPr>
        <w:t xml:space="preserve"> </w:t>
      </w:r>
      <w:proofErr w:type="spellStart"/>
      <w:r w:rsidRPr="003A03CD">
        <w:rPr>
          <w:rFonts w:ascii="Calibri" w:eastAsia="Times New Roman" w:hAnsi="Calibri" w:cs="Calibri"/>
          <w:color w:val="auto"/>
          <w:sz w:val="22"/>
          <w:szCs w:val="22"/>
          <w:bdr w:val="none" w:sz="0" w:space="0" w:color="auto"/>
          <w:lang w:val="cs-CZ"/>
        </w:rPr>
        <w:t>Director</w:t>
      </w:r>
      <w:proofErr w:type="spellEnd"/>
      <w:r w:rsidRPr="003A03CD">
        <w:rPr>
          <w:rFonts w:ascii="Calibri" w:eastAsia="Times New Roman" w:hAnsi="Calibri" w:cs="Calibri"/>
          <w:color w:val="auto"/>
          <w:sz w:val="22"/>
          <w:szCs w:val="22"/>
          <w:bdr w:val="none" w:sz="0" w:space="0" w:color="auto"/>
          <w:lang w:val="cs-CZ"/>
        </w:rPr>
        <w:br/>
      </w:r>
      <w:proofErr w:type="spellStart"/>
      <w:r w:rsidRPr="003A03CD">
        <w:rPr>
          <w:rFonts w:ascii="Calibri" w:eastAsia="Times New Roman" w:hAnsi="Calibri" w:cs="Calibri"/>
          <w:color w:val="auto"/>
          <w:sz w:val="22"/>
          <w:szCs w:val="22"/>
          <w:bdr w:val="none" w:sz="0" w:space="0" w:color="auto"/>
          <w:lang w:val="cs-CZ"/>
        </w:rPr>
        <w:t>Gsm</w:t>
      </w:r>
      <w:proofErr w:type="spellEnd"/>
      <w:r w:rsidRPr="003A03CD">
        <w:rPr>
          <w:rFonts w:ascii="Calibri" w:eastAsia="Times New Roman" w:hAnsi="Calibri" w:cs="Calibri"/>
          <w:color w:val="auto"/>
          <w:sz w:val="22"/>
          <w:szCs w:val="22"/>
          <w:bdr w:val="none" w:sz="0" w:space="0" w:color="auto"/>
          <w:lang w:val="cs-CZ"/>
        </w:rPr>
        <w:t>: +420 731 613 606</w:t>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ab/>
      </w:r>
      <w:r>
        <w:rPr>
          <w:rFonts w:ascii="Calibri" w:eastAsia="Times New Roman" w:hAnsi="Calibri" w:cs="Calibri"/>
          <w:color w:val="auto"/>
          <w:sz w:val="22"/>
          <w:szCs w:val="22"/>
          <w:bdr w:val="none" w:sz="0" w:space="0" w:color="auto"/>
          <w:lang w:val="cs-CZ"/>
        </w:rPr>
        <w:tab/>
      </w:r>
      <w:proofErr w:type="spellStart"/>
      <w:r w:rsidRPr="003A03CD">
        <w:rPr>
          <w:rFonts w:ascii="Calibri" w:eastAsia="Times New Roman" w:hAnsi="Calibri" w:cs="Calibri"/>
          <w:color w:val="auto"/>
          <w:sz w:val="22"/>
          <w:szCs w:val="22"/>
          <w:bdr w:val="none" w:sz="0" w:space="0" w:color="auto"/>
          <w:lang w:val="cs-CZ"/>
        </w:rPr>
        <w:t>Gsm</w:t>
      </w:r>
      <w:proofErr w:type="spellEnd"/>
      <w:r w:rsidRPr="003A03CD">
        <w:rPr>
          <w:rFonts w:ascii="Calibri" w:eastAsia="Times New Roman" w:hAnsi="Calibri" w:cs="Calibri"/>
          <w:color w:val="auto"/>
          <w:sz w:val="22"/>
          <w:szCs w:val="22"/>
          <w:bdr w:val="none" w:sz="0" w:space="0" w:color="auto"/>
          <w:lang w:val="cs-CZ"/>
        </w:rPr>
        <w:t>: +420 731 613 609</w:t>
      </w:r>
      <w:r w:rsidRPr="003A03CD">
        <w:rPr>
          <w:rFonts w:ascii="Calibri" w:eastAsia="Times New Roman" w:hAnsi="Calibri" w:cs="Calibri"/>
          <w:color w:val="auto"/>
          <w:sz w:val="22"/>
          <w:szCs w:val="22"/>
          <w:bdr w:val="none" w:sz="0" w:space="0" w:color="auto"/>
          <w:lang w:val="cs-CZ"/>
        </w:rPr>
        <w:br/>
        <w:t xml:space="preserve">email: </w:t>
      </w:r>
      <w:r w:rsidRPr="003A03CD">
        <w:rPr>
          <w:rFonts w:ascii="Calibri" w:eastAsia="Times New Roman" w:hAnsi="Calibri" w:cs="Calibri"/>
          <w:color w:val="0000FF"/>
          <w:sz w:val="22"/>
          <w:szCs w:val="22"/>
          <w:u w:val="single"/>
          <w:bdr w:val="none" w:sz="0" w:space="0" w:color="auto"/>
          <w:lang w:val="cs-CZ"/>
        </w:rPr>
        <w:t>denisa.kolarikova@crestcom.cz</w:t>
      </w:r>
      <w:r w:rsidRPr="003A03CD">
        <w:rPr>
          <w:rFonts w:ascii="Calibri" w:eastAsia="Times New Roman" w:hAnsi="Calibri" w:cs="Calibri"/>
          <w:color w:val="0000FF"/>
          <w:sz w:val="22"/>
          <w:szCs w:val="22"/>
          <w:bdr w:val="none" w:sz="0" w:space="0" w:color="auto"/>
          <w:lang w:val="cs-CZ"/>
        </w:rPr>
        <w:tab/>
      </w:r>
      <w:r w:rsidRPr="003A03CD">
        <w:rPr>
          <w:rFonts w:ascii="Calibri" w:eastAsia="Times New Roman" w:hAnsi="Calibri" w:cs="Calibri"/>
          <w:color w:val="0000FF"/>
          <w:sz w:val="22"/>
          <w:szCs w:val="22"/>
          <w:bdr w:val="none" w:sz="0" w:space="0" w:color="auto"/>
          <w:lang w:val="cs-CZ"/>
        </w:rPr>
        <w:tab/>
      </w:r>
      <w:r>
        <w:rPr>
          <w:rFonts w:ascii="Calibri" w:eastAsia="Times New Roman" w:hAnsi="Calibri" w:cs="Calibri"/>
          <w:color w:val="0000FF"/>
          <w:sz w:val="22"/>
          <w:szCs w:val="22"/>
          <w:bdr w:val="none" w:sz="0" w:space="0" w:color="auto"/>
          <w:lang w:val="cs-CZ"/>
        </w:rPr>
        <w:tab/>
      </w:r>
      <w:r w:rsidRPr="003A03CD">
        <w:rPr>
          <w:rFonts w:ascii="Calibri" w:eastAsia="Times New Roman" w:hAnsi="Calibri" w:cs="Calibri"/>
          <w:color w:val="auto"/>
          <w:sz w:val="22"/>
          <w:szCs w:val="22"/>
          <w:bdr w:val="none" w:sz="0" w:space="0" w:color="auto"/>
          <w:lang w:val="cs-CZ"/>
        </w:rPr>
        <w:t xml:space="preserve">email: </w:t>
      </w:r>
      <w:hyperlink r:id="rId12" w:history="1">
        <w:r w:rsidRPr="003A03CD">
          <w:rPr>
            <w:rFonts w:ascii="Calibri" w:eastAsia="Times New Roman" w:hAnsi="Calibri" w:cs="Calibri"/>
            <w:color w:val="0000FF"/>
            <w:sz w:val="22"/>
            <w:szCs w:val="22"/>
            <w:u w:val="single"/>
            <w:bdr w:val="none" w:sz="0" w:space="0" w:color="auto"/>
            <w:lang w:val="cs-CZ"/>
          </w:rPr>
          <w:t>kamila.cadkova@crestcom.cz</w:t>
        </w:r>
      </w:hyperlink>
      <w:r w:rsidRPr="003A03CD">
        <w:rPr>
          <w:rFonts w:ascii="Calibri" w:eastAsia="Times New Roman" w:hAnsi="Calibri" w:cs="Calibri"/>
          <w:color w:val="0000FF"/>
          <w:sz w:val="22"/>
          <w:szCs w:val="22"/>
          <w:u w:val="single"/>
          <w:bdr w:val="none" w:sz="0" w:space="0" w:color="auto"/>
          <w:lang w:val="cs-CZ"/>
        </w:rPr>
        <w:br/>
      </w:r>
      <w:hyperlink r:id="rId13" w:history="1">
        <w:r w:rsidRPr="003A03CD">
          <w:rPr>
            <w:rFonts w:ascii="Calibri" w:eastAsia="Times New Roman" w:hAnsi="Calibri" w:cs="Calibri"/>
            <w:color w:val="0000FF"/>
            <w:sz w:val="22"/>
            <w:szCs w:val="22"/>
            <w:u w:val="single"/>
            <w:bdr w:val="none" w:sz="0" w:space="0" w:color="auto"/>
            <w:lang w:val="cs-CZ"/>
          </w:rPr>
          <w:t>www.crestcom.cz</w:t>
        </w:r>
      </w:hyperlink>
    </w:p>
    <w:p w14:paraId="466993C4" w14:textId="77777777" w:rsidR="00A01EA7" w:rsidRPr="003A03CD" w:rsidRDefault="00A01EA7" w:rsidP="00A01EA7">
      <w:pPr>
        <w:jc w:val="both"/>
        <w:rPr>
          <w:rFonts w:ascii="Calibri" w:eastAsia="Calibri" w:hAnsi="Calibri" w:cs="Calibri"/>
          <w:bCs/>
          <w:sz w:val="22"/>
          <w:szCs w:val="22"/>
          <w:lang w:val="cs-CZ"/>
        </w:rPr>
      </w:pPr>
    </w:p>
    <w:p w14:paraId="5B56995F" w14:textId="77777777" w:rsidR="00A01EA7" w:rsidRPr="003A03CD" w:rsidRDefault="00A01EA7" w:rsidP="00A01EA7">
      <w:pPr>
        <w:pStyle w:val="paragraph"/>
        <w:spacing w:before="0" w:beforeAutospacing="0" w:after="0" w:afterAutospacing="0"/>
        <w:jc w:val="both"/>
        <w:textAlignment w:val="baseline"/>
        <w:rPr>
          <w:rFonts w:ascii="Segoe UI" w:hAnsi="Segoe UI" w:cs="Segoe UI"/>
          <w:color w:val="000000"/>
          <w:sz w:val="22"/>
          <w:szCs w:val="22"/>
        </w:rPr>
      </w:pPr>
      <w:r w:rsidRPr="003A03CD">
        <w:rPr>
          <w:rStyle w:val="normaltextrun"/>
          <w:rFonts w:ascii="Calibri" w:hAnsi="Calibri" w:cs="Segoe UI"/>
          <w:b/>
          <w:bCs/>
          <w:color w:val="000000"/>
          <w:sz w:val="22"/>
          <w:szCs w:val="22"/>
        </w:rPr>
        <w:t>CBRE</w:t>
      </w:r>
      <w:r w:rsidRPr="003A03CD">
        <w:rPr>
          <w:rStyle w:val="eop"/>
          <w:rFonts w:ascii="Calibri" w:hAnsi="Calibri" w:cs="Segoe UI"/>
          <w:color w:val="000000"/>
          <w:sz w:val="22"/>
          <w:szCs w:val="22"/>
        </w:rPr>
        <w:t> </w:t>
      </w:r>
    </w:p>
    <w:p w14:paraId="2446C32E" w14:textId="77777777" w:rsidR="00A01EA7" w:rsidRPr="003A03CD" w:rsidRDefault="00A01EA7" w:rsidP="00A01EA7">
      <w:pPr>
        <w:pStyle w:val="paragraph"/>
        <w:spacing w:before="0" w:beforeAutospacing="0" w:after="0" w:afterAutospacing="0"/>
        <w:jc w:val="both"/>
        <w:textAlignment w:val="baseline"/>
        <w:rPr>
          <w:rFonts w:ascii="Segoe UI" w:hAnsi="Segoe UI" w:cs="Segoe UI"/>
          <w:color w:val="000000"/>
          <w:sz w:val="22"/>
          <w:szCs w:val="22"/>
        </w:rPr>
      </w:pPr>
      <w:r w:rsidRPr="003A03CD">
        <w:rPr>
          <w:rStyle w:val="normaltextrun"/>
          <w:rFonts w:ascii="Calibri" w:hAnsi="Calibri" w:cs="Segoe UI"/>
          <w:color w:val="000000"/>
          <w:sz w:val="22"/>
          <w:szCs w:val="22"/>
        </w:rPr>
        <w:t>Pavlína Musilová, Communications </w:t>
      </w:r>
      <w:proofErr w:type="spellStart"/>
      <w:r w:rsidRPr="003A03CD">
        <w:rPr>
          <w:rStyle w:val="normaltextrun"/>
          <w:rFonts w:ascii="Calibri" w:hAnsi="Calibri" w:cs="Segoe UI"/>
          <w:color w:val="000000"/>
          <w:sz w:val="22"/>
          <w:szCs w:val="22"/>
        </w:rPr>
        <w:t>Manager</w:t>
      </w:r>
      <w:proofErr w:type="spellEnd"/>
      <w:r w:rsidRPr="003A03CD">
        <w:rPr>
          <w:rStyle w:val="normaltextrun"/>
          <w:rFonts w:ascii="Calibri" w:hAnsi="Calibri" w:cs="Segoe UI"/>
          <w:color w:val="000000"/>
          <w:sz w:val="22"/>
          <w:szCs w:val="22"/>
        </w:rPr>
        <w:t>, +420 606 611 074, </w:t>
      </w:r>
      <w:hyperlink r:id="rId14" w:tgtFrame="_blank" w:history="1">
        <w:r w:rsidRPr="003A03CD">
          <w:rPr>
            <w:rStyle w:val="normaltextrun"/>
            <w:rFonts w:ascii="Calibri" w:hAnsi="Calibri" w:cs="Segoe UI"/>
            <w:color w:val="000000"/>
            <w:sz w:val="22"/>
            <w:szCs w:val="22"/>
            <w:u w:val="single"/>
          </w:rPr>
          <w:t>pavlina.musilova1@cbre.com</w:t>
        </w:r>
      </w:hyperlink>
      <w:r w:rsidRPr="003A03CD">
        <w:rPr>
          <w:rStyle w:val="eop"/>
          <w:rFonts w:ascii="Calibri" w:hAnsi="Calibri" w:cs="Segoe UI"/>
          <w:color w:val="000000"/>
          <w:sz w:val="22"/>
          <w:szCs w:val="22"/>
        </w:rPr>
        <w:t> </w:t>
      </w:r>
    </w:p>
    <w:p w14:paraId="49BA843E" w14:textId="77777777" w:rsidR="00A01EA7" w:rsidRPr="003A03CD" w:rsidRDefault="00A01EA7" w:rsidP="00A01EA7">
      <w:pPr>
        <w:pStyle w:val="paragraph"/>
        <w:spacing w:before="0" w:beforeAutospacing="0" w:after="0" w:afterAutospacing="0"/>
        <w:textAlignment w:val="baseline"/>
        <w:rPr>
          <w:rFonts w:ascii="Segoe UI" w:hAnsi="Segoe UI" w:cs="Segoe UI"/>
          <w:color w:val="000000"/>
          <w:sz w:val="22"/>
          <w:szCs w:val="22"/>
        </w:rPr>
      </w:pPr>
      <w:r w:rsidRPr="003A03CD">
        <w:rPr>
          <w:rStyle w:val="normaltextrun"/>
          <w:rFonts w:ascii="Calibri" w:hAnsi="Calibri" w:cs="Segoe UI"/>
          <w:color w:val="000000"/>
          <w:sz w:val="22"/>
          <w:szCs w:val="22"/>
        </w:rPr>
        <w:t>CBRE Czech Republic</w:t>
      </w:r>
      <w:r w:rsidRPr="003A03CD">
        <w:rPr>
          <w:rStyle w:val="normaltextrun"/>
          <w:rFonts w:ascii="Calibri" w:hAnsi="Calibri" w:cs="Segoe UI"/>
          <w:color w:val="1F497D"/>
          <w:sz w:val="22"/>
          <w:szCs w:val="22"/>
        </w:rPr>
        <w:t> </w:t>
      </w:r>
      <w:proofErr w:type="spellStart"/>
      <w:r w:rsidRPr="003A03CD">
        <w:rPr>
          <w:rFonts w:ascii="Segoe UI" w:hAnsi="Segoe UI" w:cs="Segoe UI"/>
          <w:color w:val="000000"/>
          <w:sz w:val="22"/>
          <w:szCs w:val="22"/>
        </w:rPr>
        <w:fldChar w:fldCharType="begin"/>
      </w:r>
      <w:r w:rsidRPr="003A03CD">
        <w:rPr>
          <w:rFonts w:ascii="Segoe UI" w:hAnsi="Segoe UI" w:cs="Segoe UI"/>
          <w:color w:val="000000"/>
          <w:sz w:val="22"/>
          <w:szCs w:val="22"/>
        </w:rPr>
        <w:instrText xml:space="preserve"> HYPERLINK "https://www.facebook.com/pages/CBRE-News/626929170775263?ref=ts&amp;fref=ts" \t "_blank" </w:instrText>
      </w:r>
      <w:r w:rsidRPr="003A03CD">
        <w:rPr>
          <w:rFonts w:ascii="Segoe UI" w:hAnsi="Segoe UI" w:cs="Segoe UI"/>
          <w:color w:val="000000"/>
          <w:sz w:val="22"/>
          <w:szCs w:val="22"/>
        </w:rPr>
        <w:fldChar w:fldCharType="separate"/>
      </w:r>
      <w:r w:rsidRPr="003A03CD">
        <w:rPr>
          <w:rStyle w:val="normaltextrun"/>
          <w:rFonts w:ascii="Calibri" w:hAnsi="Calibri" w:cs="Segoe UI"/>
          <w:color w:val="0000FF"/>
          <w:sz w:val="22"/>
          <w:szCs w:val="22"/>
          <w:u w:val="single"/>
        </w:rPr>
        <w:t>Facebook</w:t>
      </w:r>
      <w:proofErr w:type="spellEnd"/>
      <w:r w:rsidRPr="003A03CD">
        <w:rPr>
          <w:rFonts w:ascii="Segoe UI" w:hAnsi="Segoe UI" w:cs="Segoe UI"/>
          <w:color w:val="000000"/>
          <w:sz w:val="22"/>
          <w:szCs w:val="22"/>
        </w:rPr>
        <w:fldChar w:fldCharType="end"/>
      </w:r>
      <w:r w:rsidRPr="003A03CD">
        <w:rPr>
          <w:rStyle w:val="normaltextrun"/>
          <w:rFonts w:ascii="Calibri" w:hAnsi="Calibri" w:cs="Segoe UI"/>
          <w:color w:val="0000FF"/>
          <w:sz w:val="22"/>
          <w:szCs w:val="22"/>
          <w:u w:val="single"/>
        </w:rPr>
        <w:t>,</w:t>
      </w:r>
      <w:r w:rsidRPr="003A03CD">
        <w:rPr>
          <w:rStyle w:val="normaltextrun"/>
          <w:rFonts w:ascii="Calibri" w:hAnsi="Calibri" w:cs="Segoe UI"/>
          <w:color w:val="0000FF"/>
          <w:sz w:val="22"/>
          <w:szCs w:val="22"/>
        </w:rPr>
        <w:t> </w:t>
      </w:r>
      <w:proofErr w:type="spellStart"/>
      <w:r w:rsidRPr="003A03CD">
        <w:rPr>
          <w:rFonts w:ascii="Segoe UI" w:hAnsi="Segoe UI" w:cs="Segoe UI"/>
          <w:color w:val="000000"/>
          <w:sz w:val="22"/>
          <w:szCs w:val="22"/>
        </w:rPr>
        <w:fldChar w:fldCharType="begin"/>
      </w:r>
      <w:r w:rsidRPr="003A03CD">
        <w:rPr>
          <w:rFonts w:ascii="Segoe UI" w:hAnsi="Segoe UI" w:cs="Segoe UI"/>
          <w:color w:val="000000"/>
          <w:sz w:val="22"/>
          <w:szCs w:val="22"/>
        </w:rPr>
        <w:instrText xml:space="preserve"> HYPERLINK "https://www.linkedin.com/company/3585825?trk=tyah&amp;trkInfo=clickedVertical%253Acompany%252Cidx%253A1-1-1%252CtarId%253A1431360641868%252Ctas%253Acbre%2520czech" \t "_blank" </w:instrText>
      </w:r>
      <w:r w:rsidRPr="003A03CD">
        <w:rPr>
          <w:rFonts w:ascii="Segoe UI" w:hAnsi="Segoe UI" w:cs="Segoe UI"/>
          <w:color w:val="000000"/>
          <w:sz w:val="22"/>
          <w:szCs w:val="22"/>
        </w:rPr>
        <w:fldChar w:fldCharType="separate"/>
      </w:r>
      <w:r w:rsidRPr="003A03CD">
        <w:rPr>
          <w:rStyle w:val="normaltextrun"/>
          <w:rFonts w:ascii="Calibri" w:hAnsi="Calibri" w:cs="Segoe UI"/>
          <w:color w:val="0000FF"/>
          <w:sz w:val="22"/>
          <w:szCs w:val="22"/>
          <w:u w:val="single"/>
        </w:rPr>
        <w:t>Linkedin</w:t>
      </w:r>
      <w:proofErr w:type="spellEnd"/>
      <w:r w:rsidRPr="003A03CD">
        <w:rPr>
          <w:rFonts w:ascii="Segoe UI" w:hAnsi="Segoe UI" w:cs="Segoe UI"/>
          <w:color w:val="000000"/>
          <w:sz w:val="22"/>
          <w:szCs w:val="22"/>
        </w:rPr>
        <w:fldChar w:fldCharType="end"/>
      </w:r>
      <w:r w:rsidRPr="003A03CD">
        <w:rPr>
          <w:rStyle w:val="normaltextrun"/>
          <w:rFonts w:ascii="Calibri" w:hAnsi="Calibri" w:cs="Segoe UI"/>
          <w:color w:val="000000"/>
          <w:sz w:val="22"/>
          <w:szCs w:val="22"/>
        </w:rPr>
        <w:t>, </w:t>
      </w:r>
      <w:proofErr w:type="spellStart"/>
      <w:r w:rsidRPr="003A03CD">
        <w:rPr>
          <w:rFonts w:ascii="Segoe UI" w:hAnsi="Segoe UI" w:cs="Segoe UI"/>
          <w:color w:val="000000"/>
          <w:sz w:val="22"/>
          <w:szCs w:val="22"/>
        </w:rPr>
        <w:fldChar w:fldCharType="begin"/>
      </w:r>
      <w:r w:rsidRPr="003A03CD">
        <w:rPr>
          <w:rFonts w:ascii="Segoe UI" w:hAnsi="Segoe UI" w:cs="Segoe UI"/>
          <w:color w:val="000000"/>
          <w:sz w:val="22"/>
          <w:szCs w:val="22"/>
        </w:rPr>
        <w:instrText xml:space="preserve"> HYPERLINK "https://www.instagram.com/cbre_cz/" \t "_blank" </w:instrText>
      </w:r>
      <w:r w:rsidRPr="003A03CD">
        <w:rPr>
          <w:rFonts w:ascii="Segoe UI" w:hAnsi="Segoe UI" w:cs="Segoe UI"/>
          <w:color w:val="000000"/>
          <w:sz w:val="22"/>
          <w:szCs w:val="22"/>
        </w:rPr>
        <w:fldChar w:fldCharType="separate"/>
      </w:r>
      <w:r w:rsidRPr="003A03CD">
        <w:rPr>
          <w:rStyle w:val="normaltextrun"/>
          <w:rFonts w:ascii="Calibri" w:hAnsi="Calibri" w:cs="Segoe UI"/>
          <w:color w:val="0000FF"/>
          <w:sz w:val="22"/>
          <w:szCs w:val="22"/>
          <w:u w:val="single"/>
        </w:rPr>
        <w:t>Instagram</w:t>
      </w:r>
      <w:proofErr w:type="spellEnd"/>
      <w:r w:rsidRPr="003A03CD">
        <w:rPr>
          <w:rFonts w:ascii="Segoe UI" w:hAnsi="Segoe UI" w:cs="Segoe UI"/>
          <w:color w:val="000000"/>
          <w:sz w:val="22"/>
          <w:szCs w:val="22"/>
        </w:rPr>
        <w:fldChar w:fldCharType="end"/>
      </w:r>
      <w:r w:rsidRPr="003A03CD">
        <w:rPr>
          <w:rStyle w:val="eop"/>
          <w:rFonts w:ascii="Calibri" w:hAnsi="Calibri" w:cs="Segoe UI"/>
          <w:color w:val="000000"/>
          <w:sz w:val="22"/>
          <w:szCs w:val="22"/>
        </w:rPr>
        <w:t> </w:t>
      </w:r>
    </w:p>
    <w:p w14:paraId="4D6684D6" w14:textId="437B9527" w:rsidR="00A01EA7" w:rsidRPr="00867D5F" w:rsidRDefault="00A01EA7" w:rsidP="00A01EA7">
      <w:pPr>
        <w:pStyle w:val="paragraph"/>
        <w:spacing w:before="0" w:beforeAutospacing="0" w:after="0" w:afterAutospacing="0"/>
        <w:jc w:val="both"/>
        <w:textAlignment w:val="baseline"/>
        <w:rPr>
          <w:rFonts w:ascii="Segoe UI" w:hAnsi="Segoe UI" w:cs="Segoe UI"/>
          <w:color w:val="000000"/>
          <w:sz w:val="18"/>
          <w:szCs w:val="18"/>
        </w:rPr>
      </w:pPr>
      <w:r w:rsidRPr="00867D5F">
        <w:rPr>
          <w:rStyle w:val="scxw231575668"/>
          <w:color w:val="000000"/>
        </w:rPr>
        <w:t> </w:t>
      </w:r>
      <w:r w:rsidRPr="00867D5F">
        <w:rPr>
          <w:color w:val="000000"/>
        </w:rPr>
        <w:br/>
      </w:r>
      <w:r w:rsidRPr="00867D5F">
        <w:rPr>
          <w:rStyle w:val="normaltextrun"/>
          <w:rFonts w:ascii="Calibri" w:hAnsi="Calibri" w:cs="Segoe UI"/>
          <w:b/>
          <w:bCs/>
          <w:color w:val="000000"/>
          <w:sz w:val="18"/>
          <w:szCs w:val="18"/>
          <w:u w:val="single"/>
        </w:rPr>
        <w:t>O CBRE</w:t>
      </w:r>
      <w:r w:rsidRPr="00867D5F">
        <w:rPr>
          <w:rStyle w:val="eop"/>
          <w:rFonts w:ascii="Calibri" w:hAnsi="Calibri" w:cs="Segoe UI"/>
          <w:color w:val="000000"/>
          <w:sz w:val="18"/>
          <w:szCs w:val="18"/>
        </w:rPr>
        <w:t> </w:t>
      </w:r>
    </w:p>
    <w:p w14:paraId="7102F083" w14:textId="77777777" w:rsidR="00A01EA7" w:rsidRDefault="00A01EA7" w:rsidP="00A01EA7">
      <w:pPr>
        <w:pStyle w:val="paragraph"/>
        <w:spacing w:before="0" w:beforeAutospacing="0" w:after="0" w:afterAutospacing="0"/>
        <w:jc w:val="both"/>
        <w:textAlignment w:val="baseline"/>
        <w:rPr>
          <w:rFonts w:ascii="Calibri" w:eastAsia="Calibri" w:hAnsi="Calibri" w:cs="Calibri"/>
          <w:bCs/>
        </w:rPr>
      </w:pPr>
      <w:r w:rsidRPr="00867D5F">
        <w:rPr>
          <w:rStyle w:val="normaltextrun"/>
          <w:rFonts w:ascii="Calibri" w:hAnsi="Calibri" w:cs="Segoe UI"/>
          <w:color w:val="000000"/>
          <w:sz w:val="18"/>
          <w:szCs w:val="18"/>
        </w:rPr>
        <w:t>CBRE Group, společnost figurující na žebříčku </w:t>
      </w:r>
      <w:proofErr w:type="spellStart"/>
      <w:r w:rsidRPr="00867D5F">
        <w:rPr>
          <w:rStyle w:val="spellingerror"/>
          <w:rFonts w:ascii="Calibri" w:hAnsi="Calibri" w:cs="Segoe UI"/>
          <w:color w:val="000000"/>
          <w:sz w:val="18"/>
          <w:szCs w:val="18"/>
        </w:rPr>
        <w:t>Fortune</w:t>
      </w:r>
      <w:proofErr w:type="spellEnd"/>
      <w:r w:rsidRPr="00867D5F">
        <w:rPr>
          <w:rStyle w:val="normaltextrun"/>
          <w:rFonts w:ascii="Calibri" w:hAnsi="Calibri" w:cs="Segoe UI"/>
          <w:color w:val="000000"/>
          <w:sz w:val="18"/>
          <w:szCs w:val="18"/>
        </w:rPr>
        <w:t xml:space="preserve"> 500 a indexu S&amp;P 500 se sídlem v Los Angeles, je světovou vedoucí společností v oblasti realitních služeb a investic (z hlediska výnosů za rok 2019). S přibližně 100 000 zaměstnanci poskytuje služby majitelům nemovitostí, investorům a nájemníkům prostřednictvím více než 530 poboček po celém světě (do tohoto součtu nejsou započteny dceřiné společnosti). Společnost CBRE poskytuje širokou škálu integrovaných služeb od správy a údržby </w:t>
      </w:r>
      <w:r w:rsidRPr="00867D5F">
        <w:rPr>
          <w:rStyle w:val="normaltextrun"/>
          <w:rFonts w:ascii="Calibri" w:hAnsi="Calibri" w:cs="Segoe UI"/>
          <w:color w:val="000000"/>
          <w:sz w:val="18"/>
          <w:szCs w:val="18"/>
        </w:rPr>
        <w:lastRenderedPageBreak/>
        <w:t>nemovitostí, obchodních transakcí, projektového managementu, investičního managementu přes oceňování nemovitostí, pronájmu a prodeje nemovitostí, strategického poradenství až po hypoteční a developerské služby. S téměř 350 zaměstnanci CBRE v České republice spravuje téměř 75 objektů komerčních budov o celkové rozloze téměř 1,2 mil. m</w:t>
      </w:r>
      <w:r w:rsidRPr="00867D5F">
        <w:rPr>
          <w:rStyle w:val="normaltextrun"/>
          <w:rFonts w:ascii="Calibri" w:hAnsi="Calibri" w:cs="Segoe UI"/>
          <w:color w:val="000000"/>
          <w:sz w:val="14"/>
          <w:szCs w:val="14"/>
          <w:vertAlign w:val="superscript"/>
        </w:rPr>
        <w:t>2</w:t>
      </w:r>
      <w:r w:rsidRPr="00867D5F">
        <w:rPr>
          <w:rStyle w:val="normaltextrun"/>
          <w:rFonts w:ascii="Calibri" w:hAnsi="Calibri" w:cs="Segoe UI"/>
          <w:color w:val="000000"/>
          <w:sz w:val="18"/>
          <w:szCs w:val="18"/>
        </w:rPr>
        <w:t>. Pro více informací navštivte internetové stránky společnosti na </w:t>
      </w:r>
      <w:hyperlink r:id="rId15" w:tgtFrame="_blank" w:history="1">
        <w:r w:rsidRPr="00867D5F">
          <w:rPr>
            <w:rStyle w:val="normaltextrun"/>
            <w:rFonts w:ascii="Calibri" w:hAnsi="Calibri" w:cs="Segoe UI"/>
            <w:color w:val="0000FF"/>
            <w:sz w:val="18"/>
            <w:szCs w:val="18"/>
            <w:u w:val="single"/>
          </w:rPr>
          <w:t>www.cbre.cz</w:t>
        </w:r>
      </w:hyperlink>
      <w:r w:rsidRPr="00867D5F">
        <w:rPr>
          <w:rStyle w:val="normaltextrun"/>
          <w:rFonts w:ascii="Calibri" w:hAnsi="Calibri" w:cs="Segoe UI"/>
          <w:color w:val="000000"/>
          <w:sz w:val="18"/>
          <w:szCs w:val="18"/>
        </w:rPr>
        <w:t>.</w:t>
      </w:r>
      <w:r w:rsidRPr="00867D5F">
        <w:rPr>
          <w:rStyle w:val="eop"/>
          <w:rFonts w:ascii="Calibri" w:hAnsi="Calibri" w:cs="Segoe UI"/>
          <w:color w:val="000000"/>
          <w:sz w:val="18"/>
          <w:szCs w:val="18"/>
        </w:rPr>
        <w:t> </w:t>
      </w:r>
    </w:p>
    <w:p w14:paraId="4193792F" w14:textId="77777777" w:rsidR="00A01EA7" w:rsidRDefault="00A01EA7" w:rsidP="00A64564">
      <w:pPr>
        <w:jc w:val="both"/>
        <w:rPr>
          <w:rFonts w:ascii="Calibri" w:eastAsia="Calibri" w:hAnsi="Calibri" w:cs="Calibri"/>
          <w:bCs/>
          <w:lang w:val="cs-CZ"/>
        </w:rPr>
      </w:pPr>
    </w:p>
    <w:sectPr w:rsidR="00A01EA7" w:rsidSect="004818C2">
      <w:headerReference w:type="default" r:id="rId16"/>
      <w:headerReference w:type="first" r:id="rId17"/>
      <w:pgSz w:w="12240" w:h="15840"/>
      <w:pgMar w:top="1417" w:right="1417" w:bottom="1417" w:left="1417" w:header="180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64201" w14:textId="77777777" w:rsidR="00146BD0" w:rsidRDefault="00146BD0" w:rsidP="004818C2">
      <w:r>
        <w:separator/>
      </w:r>
    </w:p>
  </w:endnote>
  <w:endnote w:type="continuationSeparator" w:id="0">
    <w:p w14:paraId="4BAB53D9" w14:textId="77777777" w:rsidR="00146BD0" w:rsidRDefault="00146BD0" w:rsidP="0048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Bk BT">
    <w:altName w:val="Segoe UI"/>
    <w:charset w:val="00"/>
    <w:family w:val="swiss"/>
    <w:pitch w:val="variable"/>
    <w:sig w:usb0="800000AF" w:usb1="1000204A" w:usb2="00000000" w:usb3="00000000" w:csb0="0000001B"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A351B" w14:textId="77777777" w:rsidR="00146BD0" w:rsidRDefault="00146BD0" w:rsidP="004818C2">
      <w:r>
        <w:separator/>
      </w:r>
    </w:p>
  </w:footnote>
  <w:footnote w:type="continuationSeparator" w:id="0">
    <w:p w14:paraId="6BE67286" w14:textId="77777777" w:rsidR="00146BD0" w:rsidRDefault="00146BD0" w:rsidP="0048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38DE56CE" w:rsidR="00811A55" w:rsidRDefault="00674910" w:rsidP="004818C2">
    <w:pPr>
      <w:pStyle w:val="Zhlav"/>
      <w:jc w:val="right"/>
    </w:pPr>
    <w:proofErr w:type="spellStart"/>
    <w:r>
      <w:rPr>
        <w:rFonts w:ascii="Arial" w:hAnsi="Arial"/>
        <w:b/>
        <w:bCs/>
        <w:sz w:val="16"/>
        <w:szCs w:val="16"/>
      </w:rPr>
      <w:t>Tisková</w:t>
    </w:r>
    <w:proofErr w:type="spellEnd"/>
    <w:r>
      <w:rPr>
        <w:rFonts w:ascii="Arial" w:hAnsi="Arial"/>
        <w:b/>
        <w:bCs/>
        <w:sz w:val="16"/>
        <w:szCs w:val="16"/>
      </w:rPr>
      <w:t xml:space="preserve"> </w:t>
    </w:r>
    <w:proofErr w:type="spellStart"/>
    <w:r w:rsidR="0074248D">
      <w:rPr>
        <w:rFonts w:ascii="Arial" w:hAnsi="Arial"/>
        <w:b/>
        <w:bCs/>
        <w:sz w:val="16"/>
        <w:szCs w:val="16"/>
      </w:rPr>
      <w:t>zpráva</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31B08B44" w:rsidR="00811A55" w:rsidRDefault="004818C2" w:rsidP="004818C2">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570B6DDE">
              <wp:simplePos x="0" y="0"/>
              <wp:positionH relativeFrom="page">
                <wp:posOffset>717550</wp:posOffset>
              </wp:positionH>
              <wp:positionV relativeFrom="page">
                <wp:posOffset>790575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6D9DFFDA" w:rsidR="00811A55" w:rsidRPr="001035ED" w:rsidRDefault="00674910">
                          <w:pPr>
                            <w:ind w:left="180"/>
                            <w:rPr>
                              <w:sz w:val="44"/>
                              <w:szCs w:val="44"/>
                            </w:rPr>
                          </w:pPr>
                          <w:r w:rsidRPr="001035ED">
                            <w:rPr>
                              <w:rFonts w:ascii="Arial" w:hAnsi="Arial"/>
                              <w:spacing w:val="118"/>
                              <w:sz w:val="44"/>
                              <w:szCs w:val="44"/>
                            </w:rPr>
                            <w:t xml:space="preserve">TISKOVÁ </w:t>
                          </w:r>
                          <w:r w:rsidR="0074248D">
                            <w:rPr>
                              <w:rFonts w:ascii="Arial" w:hAnsi="Arial"/>
                              <w:spacing w:val="118"/>
                              <w:sz w:val="44"/>
                              <w:szCs w:val="44"/>
                            </w:rPr>
                            <w:t>ZPRÁVA</w:t>
                          </w:r>
                        </w:p>
                      </w:txbxContent>
                    </wps:txbx>
                    <wps:bodyPr wrap="square" lIns="45718" tIns="45718" rIns="45718" bIns="45718" numCol="1" anchor="t">
                      <a:noAutofit/>
                    </wps:bodyPr>
                  </wps:wsp>
                </a:graphicData>
              </a:graphic>
              <wp14:sizeRelV relativeFrom="margin">
                <wp14:pctHeight>0</wp14:pctHeight>
              </wp14:sizeRelV>
            </wp:anchor>
          </w:drawing>
        </mc:Choice>
        <mc:Fallback>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56.5pt;margin-top:62.2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" filled="f" stroked="f" strokeweight="1pt">
              <v:stroke miterlimit="4"/>
              <v:textbox inset="1.2699mm,1.2699mm,1.2699mm,1.2699mm">
                <w:txbxContent>
                  <w:p w14:paraId="31F6FE2B" w14:textId="6D9DFFDA" w:rsidR="00811A55" w:rsidRPr="001035ED" w:rsidRDefault="00674910">
                    <w:pPr>
                      <w:ind w:left="180"/>
                      <w:rPr>
                        <w:sz w:val="44"/>
                        <w:szCs w:val="44"/>
                      </w:rPr>
                    </w:pPr>
                    <w:r w:rsidRPr="001035ED">
                      <w:rPr>
                        <w:rFonts w:ascii="Arial" w:hAnsi="Arial"/>
                        <w:spacing w:val="118"/>
                        <w:sz w:val="44"/>
                        <w:szCs w:val="44"/>
                      </w:rPr>
                      <w:t xml:space="preserve">TISKOVÁ </w:t>
                    </w:r>
                    <w:r w:rsidR="0074248D">
                      <w:rPr>
                        <w:rFonts w:ascii="Arial" w:hAnsi="Arial"/>
                        <w:spacing w:val="118"/>
                        <w:sz w:val="44"/>
                        <w:szCs w:val="44"/>
                      </w:rPr>
                      <w:t>ZPRÁVA</w:t>
                    </w:r>
                  </w:p>
                </w:txbxContent>
              </v:textbox>
              <w10:wrap anchorx="page" anchory="page"/>
            </v:shape>
          </w:pict>
        </mc:Fallback>
      </mc:AlternateContent>
    </w:r>
    <w:r>
      <w:rPr>
        <w:noProof/>
        <w:lang w:val="cs-CZ"/>
      </w:rPr>
      <w:drawing>
        <wp:anchor distT="0" distB="0" distL="114300" distR="114300" simplePos="0" relativeHeight="251659264" behindDoc="0" locked="0" layoutInCell="1" allowOverlap="1" wp14:anchorId="5B7DAE0C" wp14:editId="2FB15F93">
          <wp:simplePos x="0" y="0"/>
          <wp:positionH relativeFrom="margin">
            <wp:align>right</wp:align>
          </wp:positionH>
          <wp:positionV relativeFrom="page">
            <wp:posOffset>279400</wp:posOffset>
          </wp:positionV>
          <wp:extent cx="1267200" cy="320400"/>
          <wp:effectExtent l="0" t="0" r="0" b="3810"/>
          <wp:wrapNone/>
          <wp:docPr id="3" name="Obrázek 3"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_CBRE_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6F6CA8"/>
    <w:multiLevelType w:val="hybridMultilevel"/>
    <w:tmpl w:val="C8F87C28"/>
    <w:lvl w:ilvl="0" w:tplc="B36CC7E8">
      <w:numFmt w:val="bullet"/>
      <w:lvlText w:val="•"/>
      <w:lvlJc w:val="left"/>
      <w:pPr>
        <w:ind w:left="1080" w:hanging="72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7C1E4F"/>
    <w:multiLevelType w:val="hybridMultilevel"/>
    <w:tmpl w:val="00E0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C192613"/>
    <w:multiLevelType w:val="hybridMultilevel"/>
    <w:tmpl w:val="C7E2E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1980"/>
    <w:rsid w:val="00001A08"/>
    <w:rsid w:val="00005753"/>
    <w:rsid w:val="000106B0"/>
    <w:rsid w:val="00014C7D"/>
    <w:rsid w:val="0001507F"/>
    <w:rsid w:val="000269CF"/>
    <w:rsid w:val="00033DC4"/>
    <w:rsid w:val="000357EF"/>
    <w:rsid w:val="0004552E"/>
    <w:rsid w:val="00045CAB"/>
    <w:rsid w:val="000466D3"/>
    <w:rsid w:val="00046C38"/>
    <w:rsid w:val="00050C77"/>
    <w:rsid w:val="00056EF6"/>
    <w:rsid w:val="00057EE9"/>
    <w:rsid w:val="00057FC6"/>
    <w:rsid w:val="00064188"/>
    <w:rsid w:val="000645D6"/>
    <w:rsid w:val="00064D98"/>
    <w:rsid w:val="00064F08"/>
    <w:rsid w:val="0006560A"/>
    <w:rsid w:val="000660DB"/>
    <w:rsid w:val="00066894"/>
    <w:rsid w:val="0007436F"/>
    <w:rsid w:val="00076D3F"/>
    <w:rsid w:val="00077FB3"/>
    <w:rsid w:val="000859B7"/>
    <w:rsid w:val="00086708"/>
    <w:rsid w:val="000914E0"/>
    <w:rsid w:val="000923D3"/>
    <w:rsid w:val="000946AB"/>
    <w:rsid w:val="000946DC"/>
    <w:rsid w:val="00094A48"/>
    <w:rsid w:val="000960A1"/>
    <w:rsid w:val="000A3A66"/>
    <w:rsid w:val="000A534D"/>
    <w:rsid w:val="000B0483"/>
    <w:rsid w:val="000B0693"/>
    <w:rsid w:val="000B06E6"/>
    <w:rsid w:val="000B0A7B"/>
    <w:rsid w:val="000B17E6"/>
    <w:rsid w:val="000B6705"/>
    <w:rsid w:val="000B710A"/>
    <w:rsid w:val="000C0051"/>
    <w:rsid w:val="000C3DD0"/>
    <w:rsid w:val="000C5660"/>
    <w:rsid w:val="000C5DE7"/>
    <w:rsid w:val="000C60FF"/>
    <w:rsid w:val="000C7165"/>
    <w:rsid w:val="000D0039"/>
    <w:rsid w:val="000D0792"/>
    <w:rsid w:val="000D09EE"/>
    <w:rsid w:val="000D4279"/>
    <w:rsid w:val="000D4A2E"/>
    <w:rsid w:val="000D4AB5"/>
    <w:rsid w:val="000D4D10"/>
    <w:rsid w:val="000D5159"/>
    <w:rsid w:val="000D6551"/>
    <w:rsid w:val="000D677A"/>
    <w:rsid w:val="000E0466"/>
    <w:rsid w:val="000E1C4F"/>
    <w:rsid w:val="000E1C98"/>
    <w:rsid w:val="000E2726"/>
    <w:rsid w:val="000E390F"/>
    <w:rsid w:val="000E684D"/>
    <w:rsid w:val="000E7772"/>
    <w:rsid w:val="000F1AAB"/>
    <w:rsid w:val="000F3BD4"/>
    <w:rsid w:val="00101A97"/>
    <w:rsid w:val="00102EFE"/>
    <w:rsid w:val="001035ED"/>
    <w:rsid w:val="001055E6"/>
    <w:rsid w:val="00105713"/>
    <w:rsid w:val="00111AD8"/>
    <w:rsid w:val="00111E58"/>
    <w:rsid w:val="00115E41"/>
    <w:rsid w:val="0012008F"/>
    <w:rsid w:val="00123B13"/>
    <w:rsid w:val="00123EAE"/>
    <w:rsid w:val="001254AE"/>
    <w:rsid w:val="00126B7C"/>
    <w:rsid w:val="00127769"/>
    <w:rsid w:val="00127BFD"/>
    <w:rsid w:val="001303B7"/>
    <w:rsid w:val="0013196E"/>
    <w:rsid w:val="0013208B"/>
    <w:rsid w:val="00134891"/>
    <w:rsid w:val="00140F89"/>
    <w:rsid w:val="00142870"/>
    <w:rsid w:val="001469CA"/>
    <w:rsid w:val="00146BD0"/>
    <w:rsid w:val="00152930"/>
    <w:rsid w:val="0016058C"/>
    <w:rsid w:val="00160E33"/>
    <w:rsid w:val="001625D6"/>
    <w:rsid w:val="00164426"/>
    <w:rsid w:val="001651A7"/>
    <w:rsid w:val="001665F3"/>
    <w:rsid w:val="001673F6"/>
    <w:rsid w:val="00171790"/>
    <w:rsid w:val="0017365B"/>
    <w:rsid w:val="001743B3"/>
    <w:rsid w:val="0017454E"/>
    <w:rsid w:val="001763D4"/>
    <w:rsid w:val="00181C09"/>
    <w:rsid w:val="0018540E"/>
    <w:rsid w:val="001877CC"/>
    <w:rsid w:val="00187DF2"/>
    <w:rsid w:val="00187EF0"/>
    <w:rsid w:val="001903F3"/>
    <w:rsid w:val="00193365"/>
    <w:rsid w:val="0019686A"/>
    <w:rsid w:val="001A0919"/>
    <w:rsid w:val="001A1385"/>
    <w:rsid w:val="001A299D"/>
    <w:rsid w:val="001A382D"/>
    <w:rsid w:val="001A77A5"/>
    <w:rsid w:val="001C110D"/>
    <w:rsid w:val="001C5159"/>
    <w:rsid w:val="001C607B"/>
    <w:rsid w:val="001C64F3"/>
    <w:rsid w:val="001D0DB9"/>
    <w:rsid w:val="001D737C"/>
    <w:rsid w:val="001E33C0"/>
    <w:rsid w:val="001E35E8"/>
    <w:rsid w:val="001E3C76"/>
    <w:rsid w:val="001E6D40"/>
    <w:rsid w:val="001F074F"/>
    <w:rsid w:val="001F320C"/>
    <w:rsid w:val="001F54B0"/>
    <w:rsid w:val="001F62CB"/>
    <w:rsid w:val="001F6C1D"/>
    <w:rsid w:val="002029EE"/>
    <w:rsid w:val="00212555"/>
    <w:rsid w:val="0021301C"/>
    <w:rsid w:val="00221B1F"/>
    <w:rsid w:val="00221FD7"/>
    <w:rsid w:val="00223C21"/>
    <w:rsid w:val="00233472"/>
    <w:rsid w:val="0024164E"/>
    <w:rsid w:val="0024184B"/>
    <w:rsid w:val="00242E44"/>
    <w:rsid w:val="002459CD"/>
    <w:rsid w:val="00250415"/>
    <w:rsid w:val="00255E93"/>
    <w:rsid w:val="002620B6"/>
    <w:rsid w:val="0026275B"/>
    <w:rsid w:val="00262FEC"/>
    <w:rsid w:val="00270AA9"/>
    <w:rsid w:val="0027382B"/>
    <w:rsid w:val="00274BD1"/>
    <w:rsid w:val="0028020A"/>
    <w:rsid w:val="002834B0"/>
    <w:rsid w:val="00290974"/>
    <w:rsid w:val="00291BBB"/>
    <w:rsid w:val="00294340"/>
    <w:rsid w:val="00296635"/>
    <w:rsid w:val="002A115B"/>
    <w:rsid w:val="002A18A7"/>
    <w:rsid w:val="002A6023"/>
    <w:rsid w:val="002B1A78"/>
    <w:rsid w:val="002B4D50"/>
    <w:rsid w:val="002B5829"/>
    <w:rsid w:val="002C0598"/>
    <w:rsid w:val="002C0B22"/>
    <w:rsid w:val="002C2E7F"/>
    <w:rsid w:val="002C314C"/>
    <w:rsid w:val="002C3BBD"/>
    <w:rsid w:val="002C488B"/>
    <w:rsid w:val="002C4B73"/>
    <w:rsid w:val="002C571E"/>
    <w:rsid w:val="002D2E62"/>
    <w:rsid w:val="002E139A"/>
    <w:rsid w:val="002E309A"/>
    <w:rsid w:val="002E4A87"/>
    <w:rsid w:val="002E7113"/>
    <w:rsid w:val="002E7EB8"/>
    <w:rsid w:val="002F008B"/>
    <w:rsid w:val="002F01B2"/>
    <w:rsid w:val="002F291F"/>
    <w:rsid w:val="002F2A5B"/>
    <w:rsid w:val="002F5B2C"/>
    <w:rsid w:val="002F76BA"/>
    <w:rsid w:val="00302A85"/>
    <w:rsid w:val="00306D0F"/>
    <w:rsid w:val="00306DB8"/>
    <w:rsid w:val="0031136D"/>
    <w:rsid w:val="00312D16"/>
    <w:rsid w:val="0031560E"/>
    <w:rsid w:val="0032016C"/>
    <w:rsid w:val="0032273A"/>
    <w:rsid w:val="00323DF8"/>
    <w:rsid w:val="00325134"/>
    <w:rsid w:val="00325A72"/>
    <w:rsid w:val="003266A6"/>
    <w:rsid w:val="003268C2"/>
    <w:rsid w:val="00327C5F"/>
    <w:rsid w:val="003300E1"/>
    <w:rsid w:val="00343701"/>
    <w:rsid w:val="00347BFC"/>
    <w:rsid w:val="003512FA"/>
    <w:rsid w:val="00357DFD"/>
    <w:rsid w:val="00361DC5"/>
    <w:rsid w:val="00362FF5"/>
    <w:rsid w:val="0036319B"/>
    <w:rsid w:val="003656F1"/>
    <w:rsid w:val="0037191F"/>
    <w:rsid w:val="00373246"/>
    <w:rsid w:val="00376B31"/>
    <w:rsid w:val="00384DB2"/>
    <w:rsid w:val="00386218"/>
    <w:rsid w:val="00387730"/>
    <w:rsid w:val="003A03CD"/>
    <w:rsid w:val="003A4873"/>
    <w:rsid w:val="003B11CF"/>
    <w:rsid w:val="003B340F"/>
    <w:rsid w:val="003B348C"/>
    <w:rsid w:val="003B4AFA"/>
    <w:rsid w:val="003B6E41"/>
    <w:rsid w:val="003C09F6"/>
    <w:rsid w:val="003C2126"/>
    <w:rsid w:val="003C4984"/>
    <w:rsid w:val="003C4DD0"/>
    <w:rsid w:val="003C51DB"/>
    <w:rsid w:val="003C7035"/>
    <w:rsid w:val="003C7D96"/>
    <w:rsid w:val="003D284D"/>
    <w:rsid w:val="003D2851"/>
    <w:rsid w:val="003D379B"/>
    <w:rsid w:val="003D38BC"/>
    <w:rsid w:val="003D43B3"/>
    <w:rsid w:val="003D5325"/>
    <w:rsid w:val="003D7D95"/>
    <w:rsid w:val="003E586D"/>
    <w:rsid w:val="003E5FDB"/>
    <w:rsid w:val="003F285B"/>
    <w:rsid w:val="00402ADE"/>
    <w:rsid w:val="0040332B"/>
    <w:rsid w:val="00404B4F"/>
    <w:rsid w:val="00404FD9"/>
    <w:rsid w:val="0040535A"/>
    <w:rsid w:val="004073A8"/>
    <w:rsid w:val="00407C85"/>
    <w:rsid w:val="004203EE"/>
    <w:rsid w:val="00420DE2"/>
    <w:rsid w:val="004231E2"/>
    <w:rsid w:val="004238A5"/>
    <w:rsid w:val="00424F3B"/>
    <w:rsid w:val="004252CC"/>
    <w:rsid w:val="0042591F"/>
    <w:rsid w:val="00431B32"/>
    <w:rsid w:val="00434D6D"/>
    <w:rsid w:val="00435243"/>
    <w:rsid w:val="004443EA"/>
    <w:rsid w:val="0044463E"/>
    <w:rsid w:val="0044774C"/>
    <w:rsid w:val="004528E6"/>
    <w:rsid w:val="004660AB"/>
    <w:rsid w:val="00467849"/>
    <w:rsid w:val="00472A47"/>
    <w:rsid w:val="00475A7C"/>
    <w:rsid w:val="004806A5"/>
    <w:rsid w:val="004818C2"/>
    <w:rsid w:val="00482F4A"/>
    <w:rsid w:val="00484919"/>
    <w:rsid w:val="00484CDD"/>
    <w:rsid w:val="0048663C"/>
    <w:rsid w:val="004879B4"/>
    <w:rsid w:val="004948D8"/>
    <w:rsid w:val="00494999"/>
    <w:rsid w:val="004A317B"/>
    <w:rsid w:val="004A53C7"/>
    <w:rsid w:val="004B353F"/>
    <w:rsid w:val="004B48E9"/>
    <w:rsid w:val="004B5158"/>
    <w:rsid w:val="004B5C4F"/>
    <w:rsid w:val="004B73AC"/>
    <w:rsid w:val="004C146B"/>
    <w:rsid w:val="004C3888"/>
    <w:rsid w:val="004C3B29"/>
    <w:rsid w:val="004C4228"/>
    <w:rsid w:val="004C42FD"/>
    <w:rsid w:val="004C7FD4"/>
    <w:rsid w:val="004D3F86"/>
    <w:rsid w:val="004D4ED0"/>
    <w:rsid w:val="004D6ED4"/>
    <w:rsid w:val="004E0CF0"/>
    <w:rsid w:val="004E202C"/>
    <w:rsid w:val="004E2904"/>
    <w:rsid w:val="004E535D"/>
    <w:rsid w:val="004E689B"/>
    <w:rsid w:val="004F12ED"/>
    <w:rsid w:val="004F43E7"/>
    <w:rsid w:val="004F46B5"/>
    <w:rsid w:val="004F585E"/>
    <w:rsid w:val="00500F7D"/>
    <w:rsid w:val="005018F3"/>
    <w:rsid w:val="00503662"/>
    <w:rsid w:val="005039A1"/>
    <w:rsid w:val="00505AA9"/>
    <w:rsid w:val="00513A7F"/>
    <w:rsid w:val="005327C5"/>
    <w:rsid w:val="00535597"/>
    <w:rsid w:val="00536FCC"/>
    <w:rsid w:val="0054109B"/>
    <w:rsid w:val="0054341F"/>
    <w:rsid w:val="005508A0"/>
    <w:rsid w:val="00553CFB"/>
    <w:rsid w:val="005623D9"/>
    <w:rsid w:val="005702BE"/>
    <w:rsid w:val="00570815"/>
    <w:rsid w:val="0057263B"/>
    <w:rsid w:val="00572884"/>
    <w:rsid w:val="00573C6C"/>
    <w:rsid w:val="0057594D"/>
    <w:rsid w:val="00576928"/>
    <w:rsid w:val="00580016"/>
    <w:rsid w:val="005807CB"/>
    <w:rsid w:val="00580C7B"/>
    <w:rsid w:val="005835C7"/>
    <w:rsid w:val="00586C41"/>
    <w:rsid w:val="00587888"/>
    <w:rsid w:val="0059210D"/>
    <w:rsid w:val="00594862"/>
    <w:rsid w:val="005948EA"/>
    <w:rsid w:val="00594AE6"/>
    <w:rsid w:val="00595B71"/>
    <w:rsid w:val="005A4958"/>
    <w:rsid w:val="005A5297"/>
    <w:rsid w:val="005B09FA"/>
    <w:rsid w:val="005B2064"/>
    <w:rsid w:val="005B3B3F"/>
    <w:rsid w:val="005B50AF"/>
    <w:rsid w:val="005C1594"/>
    <w:rsid w:val="005C22DA"/>
    <w:rsid w:val="005D0445"/>
    <w:rsid w:val="005D1DA8"/>
    <w:rsid w:val="005D3874"/>
    <w:rsid w:val="005D445B"/>
    <w:rsid w:val="005D50A7"/>
    <w:rsid w:val="005D7691"/>
    <w:rsid w:val="005E2F3C"/>
    <w:rsid w:val="005E34D6"/>
    <w:rsid w:val="005E5358"/>
    <w:rsid w:val="005F00D6"/>
    <w:rsid w:val="005F0526"/>
    <w:rsid w:val="005F1A52"/>
    <w:rsid w:val="005F1F6E"/>
    <w:rsid w:val="005F23D1"/>
    <w:rsid w:val="005F2679"/>
    <w:rsid w:val="005F40D9"/>
    <w:rsid w:val="005F5682"/>
    <w:rsid w:val="005F5FD8"/>
    <w:rsid w:val="005F7146"/>
    <w:rsid w:val="005F7EB0"/>
    <w:rsid w:val="00600FF7"/>
    <w:rsid w:val="00602AB5"/>
    <w:rsid w:val="006072F5"/>
    <w:rsid w:val="00614452"/>
    <w:rsid w:val="00615F9C"/>
    <w:rsid w:val="0062274C"/>
    <w:rsid w:val="0062474E"/>
    <w:rsid w:val="00626E5A"/>
    <w:rsid w:val="00627AA1"/>
    <w:rsid w:val="006311FD"/>
    <w:rsid w:val="00631434"/>
    <w:rsid w:val="00631B09"/>
    <w:rsid w:val="00635423"/>
    <w:rsid w:val="00637190"/>
    <w:rsid w:val="006400E6"/>
    <w:rsid w:val="0064362E"/>
    <w:rsid w:val="006437B5"/>
    <w:rsid w:val="00643E42"/>
    <w:rsid w:val="006473E7"/>
    <w:rsid w:val="00651346"/>
    <w:rsid w:val="00653D33"/>
    <w:rsid w:val="006620B6"/>
    <w:rsid w:val="006621C4"/>
    <w:rsid w:val="00662B6A"/>
    <w:rsid w:val="00664471"/>
    <w:rsid w:val="00665B73"/>
    <w:rsid w:val="0067166B"/>
    <w:rsid w:val="0067222D"/>
    <w:rsid w:val="00674910"/>
    <w:rsid w:val="00676CD5"/>
    <w:rsid w:val="00683121"/>
    <w:rsid w:val="00683882"/>
    <w:rsid w:val="00693129"/>
    <w:rsid w:val="006952F4"/>
    <w:rsid w:val="006A2310"/>
    <w:rsid w:val="006A3840"/>
    <w:rsid w:val="006A5C63"/>
    <w:rsid w:val="006C1E11"/>
    <w:rsid w:val="006C2856"/>
    <w:rsid w:val="006C29C4"/>
    <w:rsid w:val="006C3BEF"/>
    <w:rsid w:val="006C6644"/>
    <w:rsid w:val="006D16EC"/>
    <w:rsid w:val="006D5F6D"/>
    <w:rsid w:val="006E00F2"/>
    <w:rsid w:val="006E110C"/>
    <w:rsid w:val="006E1663"/>
    <w:rsid w:val="006E28F6"/>
    <w:rsid w:val="006E2926"/>
    <w:rsid w:val="006E36B5"/>
    <w:rsid w:val="006E4EAD"/>
    <w:rsid w:val="006E5543"/>
    <w:rsid w:val="006F14BE"/>
    <w:rsid w:val="006F63C8"/>
    <w:rsid w:val="006F6BF3"/>
    <w:rsid w:val="006F75B6"/>
    <w:rsid w:val="006F786B"/>
    <w:rsid w:val="00701C69"/>
    <w:rsid w:val="00702FCA"/>
    <w:rsid w:val="00707F22"/>
    <w:rsid w:val="00712130"/>
    <w:rsid w:val="00713F78"/>
    <w:rsid w:val="00714053"/>
    <w:rsid w:val="00715004"/>
    <w:rsid w:val="00717252"/>
    <w:rsid w:val="00720CB4"/>
    <w:rsid w:val="00721B50"/>
    <w:rsid w:val="00723F99"/>
    <w:rsid w:val="00724613"/>
    <w:rsid w:val="0072484D"/>
    <w:rsid w:val="00725C04"/>
    <w:rsid w:val="0072643F"/>
    <w:rsid w:val="007309EB"/>
    <w:rsid w:val="00733E1B"/>
    <w:rsid w:val="007364B8"/>
    <w:rsid w:val="00736E16"/>
    <w:rsid w:val="0074049E"/>
    <w:rsid w:val="00741247"/>
    <w:rsid w:val="0074248D"/>
    <w:rsid w:val="0074441E"/>
    <w:rsid w:val="00745196"/>
    <w:rsid w:val="00746FE4"/>
    <w:rsid w:val="007510C6"/>
    <w:rsid w:val="0075132A"/>
    <w:rsid w:val="007530A2"/>
    <w:rsid w:val="0075565C"/>
    <w:rsid w:val="00756A89"/>
    <w:rsid w:val="00757AB8"/>
    <w:rsid w:val="00757B56"/>
    <w:rsid w:val="00760560"/>
    <w:rsid w:val="007614D4"/>
    <w:rsid w:val="0076417A"/>
    <w:rsid w:val="00764D4F"/>
    <w:rsid w:val="00765FAF"/>
    <w:rsid w:val="007678EB"/>
    <w:rsid w:val="0077191A"/>
    <w:rsid w:val="00773F34"/>
    <w:rsid w:val="00774B8E"/>
    <w:rsid w:val="00781031"/>
    <w:rsid w:val="007A002F"/>
    <w:rsid w:val="007A0F04"/>
    <w:rsid w:val="007A1838"/>
    <w:rsid w:val="007A26FB"/>
    <w:rsid w:val="007A3006"/>
    <w:rsid w:val="007A3153"/>
    <w:rsid w:val="007A4884"/>
    <w:rsid w:val="007B0C2E"/>
    <w:rsid w:val="007B4428"/>
    <w:rsid w:val="007B53EB"/>
    <w:rsid w:val="007B7D09"/>
    <w:rsid w:val="007C0F9D"/>
    <w:rsid w:val="007C133A"/>
    <w:rsid w:val="007C47AD"/>
    <w:rsid w:val="007C545A"/>
    <w:rsid w:val="007C59B9"/>
    <w:rsid w:val="007C6082"/>
    <w:rsid w:val="007C732E"/>
    <w:rsid w:val="007C73A0"/>
    <w:rsid w:val="007C7467"/>
    <w:rsid w:val="007D1B40"/>
    <w:rsid w:val="007D5DE1"/>
    <w:rsid w:val="007D6E72"/>
    <w:rsid w:val="007E180A"/>
    <w:rsid w:val="007E37A8"/>
    <w:rsid w:val="007E5CF3"/>
    <w:rsid w:val="007E7B55"/>
    <w:rsid w:val="007F220B"/>
    <w:rsid w:val="007F625F"/>
    <w:rsid w:val="008024E8"/>
    <w:rsid w:val="00803071"/>
    <w:rsid w:val="00803242"/>
    <w:rsid w:val="00803C70"/>
    <w:rsid w:val="00806DB0"/>
    <w:rsid w:val="008104E3"/>
    <w:rsid w:val="00811A55"/>
    <w:rsid w:val="008130D7"/>
    <w:rsid w:val="0081514F"/>
    <w:rsid w:val="008152E8"/>
    <w:rsid w:val="0082681A"/>
    <w:rsid w:val="0083340B"/>
    <w:rsid w:val="00834730"/>
    <w:rsid w:val="008356B2"/>
    <w:rsid w:val="0084056B"/>
    <w:rsid w:val="008435C5"/>
    <w:rsid w:val="00846C6C"/>
    <w:rsid w:val="00847154"/>
    <w:rsid w:val="00851924"/>
    <w:rsid w:val="00852879"/>
    <w:rsid w:val="008544F7"/>
    <w:rsid w:val="008547FF"/>
    <w:rsid w:val="00854D09"/>
    <w:rsid w:val="0085664A"/>
    <w:rsid w:val="00860412"/>
    <w:rsid w:val="00863021"/>
    <w:rsid w:val="008730D7"/>
    <w:rsid w:val="008736B3"/>
    <w:rsid w:val="00877E57"/>
    <w:rsid w:val="008858F9"/>
    <w:rsid w:val="0088594F"/>
    <w:rsid w:val="008910AF"/>
    <w:rsid w:val="008911D2"/>
    <w:rsid w:val="00895A31"/>
    <w:rsid w:val="008A1893"/>
    <w:rsid w:val="008A22C3"/>
    <w:rsid w:val="008A238C"/>
    <w:rsid w:val="008A2F22"/>
    <w:rsid w:val="008A5730"/>
    <w:rsid w:val="008B19A4"/>
    <w:rsid w:val="008B5D74"/>
    <w:rsid w:val="008B6B4A"/>
    <w:rsid w:val="008C0CC5"/>
    <w:rsid w:val="008C1E33"/>
    <w:rsid w:val="008C417E"/>
    <w:rsid w:val="008C6D76"/>
    <w:rsid w:val="008C703B"/>
    <w:rsid w:val="008D00DC"/>
    <w:rsid w:val="008D28B5"/>
    <w:rsid w:val="008D32AC"/>
    <w:rsid w:val="008D45C4"/>
    <w:rsid w:val="008D6194"/>
    <w:rsid w:val="008D620D"/>
    <w:rsid w:val="008E3641"/>
    <w:rsid w:val="008E3BED"/>
    <w:rsid w:val="008E44EC"/>
    <w:rsid w:val="008E48F0"/>
    <w:rsid w:val="008E62C0"/>
    <w:rsid w:val="008E73A8"/>
    <w:rsid w:val="008F19A4"/>
    <w:rsid w:val="008F4C38"/>
    <w:rsid w:val="008F5E94"/>
    <w:rsid w:val="008F712E"/>
    <w:rsid w:val="009003F5"/>
    <w:rsid w:val="009026A8"/>
    <w:rsid w:val="0090441C"/>
    <w:rsid w:val="009044C7"/>
    <w:rsid w:val="00904CBA"/>
    <w:rsid w:val="00905FF3"/>
    <w:rsid w:val="00910D78"/>
    <w:rsid w:val="009141A5"/>
    <w:rsid w:val="00915024"/>
    <w:rsid w:val="00915DE5"/>
    <w:rsid w:val="009177BF"/>
    <w:rsid w:val="00922588"/>
    <w:rsid w:val="009234A8"/>
    <w:rsid w:val="00927065"/>
    <w:rsid w:val="009271B5"/>
    <w:rsid w:val="009323F3"/>
    <w:rsid w:val="00932C81"/>
    <w:rsid w:val="00932E7F"/>
    <w:rsid w:val="00936314"/>
    <w:rsid w:val="00937C13"/>
    <w:rsid w:val="00941DB0"/>
    <w:rsid w:val="00947EC7"/>
    <w:rsid w:val="00950478"/>
    <w:rsid w:val="00953EEC"/>
    <w:rsid w:val="00955155"/>
    <w:rsid w:val="00956AA5"/>
    <w:rsid w:val="009601FB"/>
    <w:rsid w:val="00960972"/>
    <w:rsid w:val="00960F11"/>
    <w:rsid w:val="00962AF4"/>
    <w:rsid w:val="00963085"/>
    <w:rsid w:val="00963483"/>
    <w:rsid w:val="009652D0"/>
    <w:rsid w:val="009664F4"/>
    <w:rsid w:val="00966B6C"/>
    <w:rsid w:val="00973961"/>
    <w:rsid w:val="00974070"/>
    <w:rsid w:val="00974479"/>
    <w:rsid w:val="00984185"/>
    <w:rsid w:val="00985E72"/>
    <w:rsid w:val="0099131C"/>
    <w:rsid w:val="009928C0"/>
    <w:rsid w:val="009942FE"/>
    <w:rsid w:val="00994820"/>
    <w:rsid w:val="009977C1"/>
    <w:rsid w:val="009A1881"/>
    <w:rsid w:val="009A74A1"/>
    <w:rsid w:val="009B3A99"/>
    <w:rsid w:val="009B5A2F"/>
    <w:rsid w:val="009B697F"/>
    <w:rsid w:val="009B7E52"/>
    <w:rsid w:val="009C2A54"/>
    <w:rsid w:val="009C3C1F"/>
    <w:rsid w:val="009C6DFD"/>
    <w:rsid w:val="009C6E12"/>
    <w:rsid w:val="009D5991"/>
    <w:rsid w:val="009D6296"/>
    <w:rsid w:val="009D641A"/>
    <w:rsid w:val="009D696D"/>
    <w:rsid w:val="009D6ABB"/>
    <w:rsid w:val="009E41F0"/>
    <w:rsid w:val="009E7E6C"/>
    <w:rsid w:val="009E7FF2"/>
    <w:rsid w:val="009F0479"/>
    <w:rsid w:val="009F0650"/>
    <w:rsid w:val="009F5684"/>
    <w:rsid w:val="009F5A7C"/>
    <w:rsid w:val="009F67B5"/>
    <w:rsid w:val="00A01EA7"/>
    <w:rsid w:val="00A03327"/>
    <w:rsid w:val="00A0393E"/>
    <w:rsid w:val="00A11DF1"/>
    <w:rsid w:val="00A12E32"/>
    <w:rsid w:val="00A14033"/>
    <w:rsid w:val="00A22E8E"/>
    <w:rsid w:val="00A244CF"/>
    <w:rsid w:val="00A26078"/>
    <w:rsid w:val="00A26953"/>
    <w:rsid w:val="00A31FB3"/>
    <w:rsid w:val="00A32A1A"/>
    <w:rsid w:val="00A33F75"/>
    <w:rsid w:val="00A37098"/>
    <w:rsid w:val="00A4194E"/>
    <w:rsid w:val="00A45D01"/>
    <w:rsid w:val="00A50F5D"/>
    <w:rsid w:val="00A56270"/>
    <w:rsid w:val="00A567BE"/>
    <w:rsid w:val="00A57096"/>
    <w:rsid w:val="00A616CD"/>
    <w:rsid w:val="00A61F89"/>
    <w:rsid w:val="00A629DB"/>
    <w:rsid w:val="00A64564"/>
    <w:rsid w:val="00A65B3C"/>
    <w:rsid w:val="00A65F16"/>
    <w:rsid w:val="00A7127F"/>
    <w:rsid w:val="00A73229"/>
    <w:rsid w:val="00A74994"/>
    <w:rsid w:val="00A74B13"/>
    <w:rsid w:val="00A75CB4"/>
    <w:rsid w:val="00A845B2"/>
    <w:rsid w:val="00A92EDC"/>
    <w:rsid w:val="00A93248"/>
    <w:rsid w:val="00A93453"/>
    <w:rsid w:val="00AA1121"/>
    <w:rsid w:val="00AA73CE"/>
    <w:rsid w:val="00AB00D4"/>
    <w:rsid w:val="00AB03E6"/>
    <w:rsid w:val="00AB2319"/>
    <w:rsid w:val="00AB263C"/>
    <w:rsid w:val="00AB3052"/>
    <w:rsid w:val="00AB53E9"/>
    <w:rsid w:val="00AB6052"/>
    <w:rsid w:val="00AC566F"/>
    <w:rsid w:val="00AC6015"/>
    <w:rsid w:val="00AC6B8E"/>
    <w:rsid w:val="00AD291D"/>
    <w:rsid w:val="00AD577F"/>
    <w:rsid w:val="00AD631D"/>
    <w:rsid w:val="00AD747A"/>
    <w:rsid w:val="00AD789E"/>
    <w:rsid w:val="00AE061F"/>
    <w:rsid w:val="00AE215C"/>
    <w:rsid w:val="00AE24CB"/>
    <w:rsid w:val="00AE348A"/>
    <w:rsid w:val="00AE55A6"/>
    <w:rsid w:val="00AE628C"/>
    <w:rsid w:val="00AF20B1"/>
    <w:rsid w:val="00AF2BA7"/>
    <w:rsid w:val="00AF5351"/>
    <w:rsid w:val="00AF63AD"/>
    <w:rsid w:val="00AF6927"/>
    <w:rsid w:val="00AF7124"/>
    <w:rsid w:val="00B00762"/>
    <w:rsid w:val="00B007C2"/>
    <w:rsid w:val="00B0083B"/>
    <w:rsid w:val="00B05E0C"/>
    <w:rsid w:val="00B128E8"/>
    <w:rsid w:val="00B14880"/>
    <w:rsid w:val="00B24A4D"/>
    <w:rsid w:val="00B26311"/>
    <w:rsid w:val="00B2775F"/>
    <w:rsid w:val="00B3260A"/>
    <w:rsid w:val="00B362AA"/>
    <w:rsid w:val="00B40B4A"/>
    <w:rsid w:val="00B41B79"/>
    <w:rsid w:val="00B43619"/>
    <w:rsid w:val="00B52B93"/>
    <w:rsid w:val="00B53E8D"/>
    <w:rsid w:val="00B5417F"/>
    <w:rsid w:val="00B5449A"/>
    <w:rsid w:val="00B631DB"/>
    <w:rsid w:val="00B64966"/>
    <w:rsid w:val="00B67202"/>
    <w:rsid w:val="00B673CD"/>
    <w:rsid w:val="00B67D5D"/>
    <w:rsid w:val="00B71728"/>
    <w:rsid w:val="00B72EE7"/>
    <w:rsid w:val="00B75F69"/>
    <w:rsid w:val="00B832FB"/>
    <w:rsid w:val="00B86708"/>
    <w:rsid w:val="00B87212"/>
    <w:rsid w:val="00B900B8"/>
    <w:rsid w:val="00B91CD5"/>
    <w:rsid w:val="00B92478"/>
    <w:rsid w:val="00B94819"/>
    <w:rsid w:val="00BA1588"/>
    <w:rsid w:val="00BA4A47"/>
    <w:rsid w:val="00BA6BCA"/>
    <w:rsid w:val="00BB1021"/>
    <w:rsid w:val="00BB10A0"/>
    <w:rsid w:val="00BB422B"/>
    <w:rsid w:val="00BB5B91"/>
    <w:rsid w:val="00BB75C0"/>
    <w:rsid w:val="00BB7C0E"/>
    <w:rsid w:val="00BC118F"/>
    <w:rsid w:val="00BC17E2"/>
    <w:rsid w:val="00BC30AB"/>
    <w:rsid w:val="00BC341B"/>
    <w:rsid w:val="00BC3AEF"/>
    <w:rsid w:val="00BC67D0"/>
    <w:rsid w:val="00BC68FE"/>
    <w:rsid w:val="00BD4E57"/>
    <w:rsid w:val="00BD7DF2"/>
    <w:rsid w:val="00BE0394"/>
    <w:rsid w:val="00BE28DA"/>
    <w:rsid w:val="00BE4BD9"/>
    <w:rsid w:val="00BE60B2"/>
    <w:rsid w:val="00BF18BF"/>
    <w:rsid w:val="00BF39C4"/>
    <w:rsid w:val="00BF6DF5"/>
    <w:rsid w:val="00BF7353"/>
    <w:rsid w:val="00C00349"/>
    <w:rsid w:val="00C0042E"/>
    <w:rsid w:val="00C02EC1"/>
    <w:rsid w:val="00C03821"/>
    <w:rsid w:val="00C06014"/>
    <w:rsid w:val="00C06F19"/>
    <w:rsid w:val="00C124E6"/>
    <w:rsid w:val="00C124F6"/>
    <w:rsid w:val="00C14C86"/>
    <w:rsid w:val="00C2178D"/>
    <w:rsid w:val="00C24059"/>
    <w:rsid w:val="00C241C9"/>
    <w:rsid w:val="00C26FCF"/>
    <w:rsid w:val="00C27C13"/>
    <w:rsid w:val="00C27E9D"/>
    <w:rsid w:val="00C30F12"/>
    <w:rsid w:val="00C36546"/>
    <w:rsid w:val="00C4096F"/>
    <w:rsid w:val="00C40BB4"/>
    <w:rsid w:val="00C410E7"/>
    <w:rsid w:val="00C41A69"/>
    <w:rsid w:val="00C428D7"/>
    <w:rsid w:val="00C47A4E"/>
    <w:rsid w:val="00C47F16"/>
    <w:rsid w:val="00C525D9"/>
    <w:rsid w:val="00C531CA"/>
    <w:rsid w:val="00C57DB5"/>
    <w:rsid w:val="00C600AD"/>
    <w:rsid w:val="00C63B71"/>
    <w:rsid w:val="00C654CF"/>
    <w:rsid w:val="00C66CD2"/>
    <w:rsid w:val="00C72A2A"/>
    <w:rsid w:val="00C80345"/>
    <w:rsid w:val="00C80AD1"/>
    <w:rsid w:val="00C80BFF"/>
    <w:rsid w:val="00C81202"/>
    <w:rsid w:val="00C81DC0"/>
    <w:rsid w:val="00C84D71"/>
    <w:rsid w:val="00C90586"/>
    <w:rsid w:val="00C905EC"/>
    <w:rsid w:val="00C9793D"/>
    <w:rsid w:val="00CA0A29"/>
    <w:rsid w:val="00CA304A"/>
    <w:rsid w:val="00CA371D"/>
    <w:rsid w:val="00CA6683"/>
    <w:rsid w:val="00CB006B"/>
    <w:rsid w:val="00CB1008"/>
    <w:rsid w:val="00CB2938"/>
    <w:rsid w:val="00CB5202"/>
    <w:rsid w:val="00CC1C91"/>
    <w:rsid w:val="00CC2070"/>
    <w:rsid w:val="00CC46B8"/>
    <w:rsid w:val="00CC5651"/>
    <w:rsid w:val="00CC6EE4"/>
    <w:rsid w:val="00CD50B4"/>
    <w:rsid w:val="00CD7ABA"/>
    <w:rsid w:val="00CE11C5"/>
    <w:rsid w:val="00CE188B"/>
    <w:rsid w:val="00CE1ADA"/>
    <w:rsid w:val="00CE4FDB"/>
    <w:rsid w:val="00CE50A1"/>
    <w:rsid w:val="00CE618A"/>
    <w:rsid w:val="00CE680E"/>
    <w:rsid w:val="00CE70CC"/>
    <w:rsid w:val="00CE75CB"/>
    <w:rsid w:val="00CF07FB"/>
    <w:rsid w:val="00CF1159"/>
    <w:rsid w:val="00CF4F94"/>
    <w:rsid w:val="00D04CA0"/>
    <w:rsid w:val="00D12BEA"/>
    <w:rsid w:val="00D13C82"/>
    <w:rsid w:val="00D143C0"/>
    <w:rsid w:val="00D1472B"/>
    <w:rsid w:val="00D21C22"/>
    <w:rsid w:val="00D27B33"/>
    <w:rsid w:val="00D40949"/>
    <w:rsid w:val="00D41805"/>
    <w:rsid w:val="00D419A2"/>
    <w:rsid w:val="00D43291"/>
    <w:rsid w:val="00D44043"/>
    <w:rsid w:val="00D464BF"/>
    <w:rsid w:val="00D470D4"/>
    <w:rsid w:val="00D5017C"/>
    <w:rsid w:val="00D5793F"/>
    <w:rsid w:val="00D6002D"/>
    <w:rsid w:val="00D607AF"/>
    <w:rsid w:val="00D66672"/>
    <w:rsid w:val="00D66FE9"/>
    <w:rsid w:val="00D67200"/>
    <w:rsid w:val="00D7428D"/>
    <w:rsid w:val="00D75BFD"/>
    <w:rsid w:val="00D763E9"/>
    <w:rsid w:val="00D76693"/>
    <w:rsid w:val="00D77FB3"/>
    <w:rsid w:val="00D80515"/>
    <w:rsid w:val="00D82F90"/>
    <w:rsid w:val="00D83DCC"/>
    <w:rsid w:val="00DA1F27"/>
    <w:rsid w:val="00DA2B2B"/>
    <w:rsid w:val="00DA3591"/>
    <w:rsid w:val="00DA431B"/>
    <w:rsid w:val="00DA6087"/>
    <w:rsid w:val="00DB1D1C"/>
    <w:rsid w:val="00DB7E36"/>
    <w:rsid w:val="00DC30C8"/>
    <w:rsid w:val="00DD088F"/>
    <w:rsid w:val="00DD2B60"/>
    <w:rsid w:val="00DD3688"/>
    <w:rsid w:val="00DD5D5C"/>
    <w:rsid w:val="00DD6E49"/>
    <w:rsid w:val="00DE1B92"/>
    <w:rsid w:val="00DE5E37"/>
    <w:rsid w:val="00DE6F74"/>
    <w:rsid w:val="00DF4F2F"/>
    <w:rsid w:val="00DF6B6A"/>
    <w:rsid w:val="00DF79F8"/>
    <w:rsid w:val="00E0443C"/>
    <w:rsid w:val="00E11CAD"/>
    <w:rsid w:val="00E1265B"/>
    <w:rsid w:val="00E12927"/>
    <w:rsid w:val="00E17D74"/>
    <w:rsid w:val="00E208C4"/>
    <w:rsid w:val="00E20F45"/>
    <w:rsid w:val="00E232F9"/>
    <w:rsid w:val="00E24D74"/>
    <w:rsid w:val="00E2577C"/>
    <w:rsid w:val="00E25DD6"/>
    <w:rsid w:val="00E25F95"/>
    <w:rsid w:val="00E26D21"/>
    <w:rsid w:val="00E27A29"/>
    <w:rsid w:val="00E31566"/>
    <w:rsid w:val="00E31D07"/>
    <w:rsid w:val="00E32DC0"/>
    <w:rsid w:val="00E33C73"/>
    <w:rsid w:val="00E362F8"/>
    <w:rsid w:val="00E42355"/>
    <w:rsid w:val="00E45CAD"/>
    <w:rsid w:val="00E51A40"/>
    <w:rsid w:val="00E5435F"/>
    <w:rsid w:val="00E54936"/>
    <w:rsid w:val="00E54E08"/>
    <w:rsid w:val="00E552D6"/>
    <w:rsid w:val="00E55C2D"/>
    <w:rsid w:val="00E55EC4"/>
    <w:rsid w:val="00E569EC"/>
    <w:rsid w:val="00E5707E"/>
    <w:rsid w:val="00E61A11"/>
    <w:rsid w:val="00E62B24"/>
    <w:rsid w:val="00E669A6"/>
    <w:rsid w:val="00E70F7C"/>
    <w:rsid w:val="00E72A9C"/>
    <w:rsid w:val="00E72FFC"/>
    <w:rsid w:val="00E73E72"/>
    <w:rsid w:val="00E77AF7"/>
    <w:rsid w:val="00E83D7C"/>
    <w:rsid w:val="00E90C58"/>
    <w:rsid w:val="00E90DDE"/>
    <w:rsid w:val="00E94F2B"/>
    <w:rsid w:val="00E96F5B"/>
    <w:rsid w:val="00E9765B"/>
    <w:rsid w:val="00E97DE5"/>
    <w:rsid w:val="00EA2ADB"/>
    <w:rsid w:val="00EA3E16"/>
    <w:rsid w:val="00EA61A3"/>
    <w:rsid w:val="00EA7310"/>
    <w:rsid w:val="00EB0E3F"/>
    <w:rsid w:val="00EB1263"/>
    <w:rsid w:val="00EB2B56"/>
    <w:rsid w:val="00EB313B"/>
    <w:rsid w:val="00EB3C0C"/>
    <w:rsid w:val="00EB48D0"/>
    <w:rsid w:val="00EB50B3"/>
    <w:rsid w:val="00EC0B7B"/>
    <w:rsid w:val="00EC435D"/>
    <w:rsid w:val="00EC57FB"/>
    <w:rsid w:val="00EC770A"/>
    <w:rsid w:val="00ED00CD"/>
    <w:rsid w:val="00ED33A6"/>
    <w:rsid w:val="00ED4173"/>
    <w:rsid w:val="00ED514A"/>
    <w:rsid w:val="00ED516F"/>
    <w:rsid w:val="00EE045D"/>
    <w:rsid w:val="00EE2295"/>
    <w:rsid w:val="00EE286E"/>
    <w:rsid w:val="00EE35BD"/>
    <w:rsid w:val="00EE4BF2"/>
    <w:rsid w:val="00EE7531"/>
    <w:rsid w:val="00F01474"/>
    <w:rsid w:val="00F01FAA"/>
    <w:rsid w:val="00F02AEF"/>
    <w:rsid w:val="00F0481C"/>
    <w:rsid w:val="00F05EF2"/>
    <w:rsid w:val="00F0743F"/>
    <w:rsid w:val="00F1580E"/>
    <w:rsid w:val="00F1765F"/>
    <w:rsid w:val="00F21583"/>
    <w:rsid w:val="00F222DA"/>
    <w:rsid w:val="00F2282B"/>
    <w:rsid w:val="00F23786"/>
    <w:rsid w:val="00F2566C"/>
    <w:rsid w:val="00F301A4"/>
    <w:rsid w:val="00F31411"/>
    <w:rsid w:val="00F3380A"/>
    <w:rsid w:val="00F348D6"/>
    <w:rsid w:val="00F35C42"/>
    <w:rsid w:val="00F37C17"/>
    <w:rsid w:val="00F37EAE"/>
    <w:rsid w:val="00F4003D"/>
    <w:rsid w:val="00F43726"/>
    <w:rsid w:val="00F44066"/>
    <w:rsid w:val="00F529F0"/>
    <w:rsid w:val="00F56D63"/>
    <w:rsid w:val="00F61073"/>
    <w:rsid w:val="00F62E7B"/>
    <w:rsid w:val="00F64747"/>
    <w:rsid w:val="00F72A30"/>
    <w:rsid w:val="00F74B9E"/>
    <w:rsid w:val="00F75412"/>
    <w:rsid w:val="00F7769E"/>
    <w:rsid w:val="00F8266D"/>
    <w:rsid w:val="00F84320"/>
    <w:rsid w:val="00F84E25"/>
    <w:rsid w:val="00F924A0"/>
    <w:rsid w:val="00F93CA4"/>
    <w:rsid w:val="00F95BB2"/>
    <w:rsid w:val="00FA0B6C"/>
    <w:rsid w:val="00FA22C9"/>
    <w:rsid w:val="00FA6325"/>
    <w:rsid w:val="00FA6E22"/>
    <w:rsid w:val="00FB0EDC"/>
    <w:rsid w:val="00FB1A3E"/>
    <w:rsid w:val="00FB32EC"/>
    <w:rsid w:val="00FB39A9"/>
    <w:rsid w:val="00FB60FA"/>
    <w:rsid w:val="00FC2887"/>
    <w:rsid w:val="00FC7E53"/>
    <w:rsid w:val="00FD041A"/>
    <w:rsid w:val="00FD382B"/>
    <w:rsid w:val="00FD3EC8"/>
    <w:rsid w:val="00FD5D82"/>
    <w:rsid w:val="00FE281C"/>
    <w:rsid w:val="00FE5C9B"/>
    <w:rsid w:val="00FE75FC"/>
    <w:rsid w:val="00FF01C8"/>
    <w:rsid w:val="00FF1565"/>
    <w:rsid w:val="00FF1FC7"/>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UnresolvedMention1">
    <w:name w:val="Unresolved Mention1"/>
    <w:basedOn w:val="Standardnpsmoodstavce"/>
    <w:uiPriority w:val="99"/>
    <w:semiHidden/>
    <w:unhideWhenUsed/>
    <w:rsid w:val="007D5DE1"/>
    <w:rPr>
      <w:color w:val="605E5C"/>
      <w:shd w:val="clear" w:color="auto" w:fill="E1DFDD"/>
    </w:rPr>
  </w:style>
  <w:style w:type="character" w:customStyle="1" w:styleId="tlid-translation">
    <w:name w:val="tlid-translation"/>
    <w:basedOn w:val="Standardnpsmoodstavce"/>
    <w:rsid w:val="00665B73"/>
  </w:style>
  <w:style w:type="character" w:customStyle="1" w:styleId="normaltextrun">
    <w:name w:val="normaltextrun"/>
    <w:basedOn w:val="Standardnpsmoodstavce"/>
    <w:rsid w:val="00AC566F"/>
  </w:style>
  <w:style w:type="paragraph" w:customStyle="1" w:styleId="paragraph">
    <w:name w:val="paragraph"/>
    <w:basedOn w:val="Normln"/>
    <w:rsid w:val="00AC5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customStyle="1" w:styleId="eop">
    <w:name w:val="eop"/>
    <w:basedOn w:val="Standardnpsmoodstavce"/>
    <w:rsid w:val="00AC566F"/>
  </w:style>
  <w:style w:type="character" w:customStyle="1" w:styleId="spellingerror">
    <w:name w:val="spellingerror"/>
    <w:basedOn w:val="Standardnpsmoodstavce"/>
    <w:rsid w:val="00AC566F"/>
  </w:style>
  <w:style w:type="character" w:customStyle="1" w:styleId="scxw231575668">
    <w:name w:val="scxw231575668"/>
    <w:basedOn w:val="Standardnpsmoodstavce"/>
    <w:rsid w:val="00AC566F"/>
  </w:style>
  <w:style w:type="paragraph" w:styleId="Odstavecseseznamem">
    <w:name w:val="List Paragraph"/>
    <w:basedOn w:val="Normln"/>
    <w:uiPriority w:val="34"/>
    <w:qFormat/>
    <w:rsid w:val="004B353F"/>
    <w:pPr>
      <w:ind w:left="720"/>
      <w:contextualSpacing/>
    </w:pPr>
  </w:style>
  <w:style w:type="table" w:styleId="Mkatabulky">
    <w:name w:val="Table Grid"/>
    <w:basedOn w:val="Normlntabulka"/>
    <w:uiPriority w:val="39"/>
    <w:rsid w:val="00C0034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3303">
      <w:bodyDiv w:val="1"/>
      <w:marLeft w:val="0"/>
      <w:marRight w:val="0"/>
      <w:marTop w:val="0"/>
      <w:marBottom w:val="0"/>
      <w:divBdr>
        <w:top w:val="none" w:sz="0" w:space="0" w:color="auto"/>
        <w:left w:val="none" w:sz="0" w:space="0" w:color="auto"/>
        <w:bottom w:val="none" w:sz="0" w:space="0" w:color="auto"/>
        <w:right w:val="none" w:sz="0" w:space="0" w:color="auto"/>
      </w:divBdr>
    </w:div>
    <w:div w:id="248393552">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384107065">
      <w:bodyDiv w:val="1"/>
      <w:marLeft w:val="0"/>
      <w:marRight w:val="0"/>
      <w:marTop w:val="0"/>
      <w:marBottom w:val="0"/>
      <w:divBdr>
        <w:top w:val="none" w:sz="0" w:space="0" w:color="auto"/>
        <w:left w:val="none" w:sz="0" w:space="0" w:color="auto"/>
        <w:bottom w:val="none" w:sz="0" w:space="0" w:color="auto"/>
        <w:right w:val="none" w:sz="0" w:space="0" w:color="auto"/>
      </w:divBdr>
    </w:div>
    <w:div w:id="385223573">
      <w:bodyDiv w:val="1"/>
      <w:marLeft w:val="0"/>
      <w:marRight w:val="0"/>
      <w:marTop w:val="0"/>
      <w:marBottom w:val="0"/>
      <w:divBdr>
        <w:top w:val="none" w:sz="0" w:space="0" w:color="auto"/>
        <w:left w:val="none" w:sz="0" w:space="0" w:color="auto"/>
        <w:bottom w:val="none" w:sz="0" w:space="0" w:color="auto"/>
        <w:right w:val="none" w:sz="0" w:space="0" w:color="auto"/>
      </w:divBdr>
    </w:div>
    <w:div w:id="537933958">
      <w:bodyDiv w:val="1"/>
      <w:marLeft w:val="0"/>
      <w:marRight w:val="0"/>
      <w:marTop w:val="0"/>
      <w:marBottom w:val="0"/>
      <w:divBdr>
        <w:top w:val="none" w:sz="0" w:space="0" w:color="auto"/>
        <w:left w:val="none" w:sz="0" w:space="0" w:color="auto"/>
        <w:bottom w:val="none" w:sz="0" w:space="0" w:color="auto"/>
        <w:right w:val="none" w:sz="0" w:space="0" w:color="auto"/>
      </w:divBdr>
    </w:div>
    <w:div w:id="562103198">
      <w:bodyDiv w:val="1"/>
      <w:marLeft w:val="0"/>
      <w:marRight w:val="0"/>
      <w:marTop w:val="0"/>
      <w:marBottom w:val="0"/>
      <w:divBdr>
        <w:top w:val="none" w:sz="0" w:space="0" w:color="auto"/>
        <w:left w:val="none" w:sz="0" w:space="0" w:color="auto"/>
        <w:bottom w:val="none" w:sz="0" w:space="0" w:color="auto"/>
        <w:right w:val="none" w:sz="0" w:space="0" w:color="auto"/>
      </w:divBdr>
      <w:divsChild>
        <w:div w:id="1915552696">
          <w:marLeft w:val="0"/>
          <w:marRight w:val="0"/>
          <w:marTop w:val="0"/>
          <w:marBottom w:val="0"/>
          <w:divBdr>
            <w:top w:val="none" w:sz="0" w:space="0" w:color="auto"/>
            <w:left w:val="none" w:sz="0" w:space="0" w:color="auto"/>
            <w:bottom w:val="none" w:sz="0" w:space="0" w:color="auto"/>
            <w:right w:val="none" w:sz="0" w:space="0" w:color="auto"/>
          </w:divBdr>
          <w:divsChild>
            <w:div w:id="9348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666829461">
      <w:bodyDiv w:val="1"/>
      <w:marLeft w:val="0"/>
      <w:marRight w:val="0"/>
      <w:marTop w:val="0"/>
      <w:marBottom w:val="0"/>
      <w:divBdr>
        <w:top w:val="none" w:sz="0" w:space="0" w:color="auto"/>
        <w:left w:val="none" w:sz="0" w:space="0" w:color="auto"/>
        <w:bottom w:val="none" w:sz="0" w:space="0" w:color="auto"/>
        <w:right w:val="none" w:sz="0" w:space="0" w:color="auto"/>
      </w:divBdr>
    </w:div>
    <w:div w:id="749346662">
      <w:bodyDiv w:val="1"/>
      <w:marLeft w:val="0"/>
      <w:marRight w:val="0"/>
      <w:marTop w:val="0"/>
      <w:marBottom w:val="0"/>
      <w:divBdr>
        <w:top w:val="none" w:sz="0" w:space="0" w:color="auto"/>
        <w:left w:val="none" w:sz="0" w:space="0" w:color="auto"/>
        <w:bottom w:val="none" w:sz="0" w:space="0" w:color="auto"/>
        <w:right w:val="none" w:sz="0" w:space="0" w:color="auto"/>
      </w:divBdr>
    </w:div>
    <w:div w:id="785584800">
      <w:bodyDiv w:val="1"/>
      <w:marLeft w:val="0"/>
      <w:marRight w:val="0"/>
      <w:marTop w:val="0"/>
      <w:marBottom w:val="0"/>
      <w:divBdr>
        <w:top w:val="none" w:sz="0" w:space="0" w:color="auto"/>
        <w:left w:val="none" w:sz="0" w:space="0" w:color="auto"/>
        <w:bottom w:val="none" w:sz="0" w:space="0" w:color="auto"/>
        <w:right w:val="none" w:sz="0" w:space="0" w:color="auto"/>
      </w:divBdr>
    </w:div>
    <w:div w:id="822045677">
      <w:bodyDiv w:val="1"/>
      <w:marLeft w:val="0"/>
      <w:marRight w:val="0"/>
      <w:marTop w:val="0"/>
      <w:marBottom w:val="0"/>
      <w:divBdr>
        <w:top w:val="none" w:sz="0" w:space="0" w:color="auto"/>
        <w:left w:val="none" w:sz="0" w:space="0" w:color="auto"/>
        <w:bottom w:val="none" w:sz="0" w:space="0" w:color="auto"/>
        <w:right w:val="none" w:sz="0" w:space="0" w:color="auto"/>
      </w:divBdr>
    </w:div>
    <w:div w:id="863248971">
      <w:bodyDiv w:val="1"/>
      <w:marLeft w:val="0"/>
      <w:marRight w:val="0"/>
      <w:marTop w:val="0"/>
      <w:marBottom w:val="0"/>
      <w:divBdr>
        <w:top w:val="none" w:sz="0" w:space="0" w:color="auto"/>
        <w:left w:val="none" w:sz="0" w:space="0" w:color="auto"/>
        <w:bottom w:val="none" w:sz="0" w:space="0" w:color="auto"/>
        <w:right w:val="none" w:sz="0" w:space="0" w:color="auto"/>
      </w:divBdr>
      <w:divsChild>
        <w:div w:id="663356374">
          <w:marLeft w:val="0"/>
          <w:marRight w:val="0"/>
          <w:marTop w:val="0"/>
          <w:marBottom w:val="0"/>
          <w:divBdr>
            <w:top w:val="none" w:sz="0" w:space="0" w:color="auto"/>
            <w:left w:val="none" w:sz="0" w:space="0" w:color="auto"/>
            <w:bottom w:val="none" w:sz="0" w:space="0" w:color="auto"/>
            <w:right w:val="none" w:sz="0" w:space="0" w:color="auto"/>
          </w:divBdr>
          <w:divsChild>
            <w:div w:id="943877392">
              <w:marLeft w:val="0"/>
              <w:marRight w:val="0"/>
              <w:marTop w:val="0"/>
              <w:marBottom w:val="0"/>
              <w:divBdr>
                <w:top w:val="none" w:sz="0" w:space="0" w:color="auto"/>
                <w:left w:val="none" w:sz="0" w:space="0" w:color="auto"/>
                <w:bottom w:val="none" w:sz="0" w:space="0" w:color="auto"/>
                <w:right w:val="none" w:sz="0" w:space="0" w:color="auto"/>
              </w:divBdr>
              <w:divsChild>
                <w:div w:id="1369793908">
                  <w:marLeft w:val="0"/>
                  <w:marRight w:val="0"/>
                  <w:marTop w:val="0"/>
                  <w:marBottom w:val="0"/>
                  <w:divBdr>
                    <w:top w:val="none" w:sz="0" w:space="0" w:color="auto"/>
                    <w:left w:val="none" w:sz="0" w:space="0" w:color="auto"/>
                    <w:bottom w:val="none" w:sz="0" w:space="0" w:color="auto"/>
                    <w:right w:val="none" w:sz="0" w:space="0" w:color="auto"/>
                  </w:divBdr>
                  <w:divsChild>
                    <w:div w:id="2988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5365">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956447986">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244686107">
      <w:bodyDiv w:val="1"/>
      <w:marLeft w:val="0"/>
      <w:marRight w:val="0"/>
      <w:marTop w:val="0"/>
      <w:marBottom w:val="0"/>
      <w:divBdr>
        <w:top w:val="none" w:sz="0" w:space="0" w:color="auto"/>
        <w:left w:val="none" w:sz="0" w:space="0" w:color="auto"/>
        <w:bottom w:val="none" w:sz="0" w:space="0" w:color="auto"/>
        <w:right w:val="none" w:sz="0" w:space="0" w:color="auto"/>
      </w:divBdr>
    </w:div>
    <w:div w:id="1287393659">
      <w:bodyDiv w:val="1"/>
      <w:marLeft w:val="0"/>
      <w:marRight w:val="0"/>
      <w:marTop w:val="0"/>
      <w:marBottom w:val="0"/>
      <w:divBdr>
        <w:top w:val="none" w:sz="0" w:space="0" w:color="auto"/>
        <w:left w:val="none" w:sz="0" w:space="0" w:color="auto"/>
        <w:bottom w:val="none" w:sz="0" w:space="0" w:color="auto"/>
        <w:right w:val="none" w:sz="0" w:space="0" w:color="auto"/>
      </w:divBdr>
    </w:div>
    <w:div w:id="1303651525">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463813271">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83431312">
      <w:bodyDiv w:val="1"/>
      <w:marLeft w:val="0"/>
      <w:marRight w:val="0"/>
      <w:marTop w:val="0"/>
      <w:marBottom w:val="0"/>
      <w:divBdr>
        <w:top w:val="none" w:sz="0" w:space="0" w:color="auto"/>
        <w:left w:val="none" w:sz="0" w:space="0" w:color="auto"/>
        <w:bottom w:val="none" w:sz="0" w:space="0" w:color="auto"/>
        <w:right w:val="none" w:sz="0" w:space="0" w:color="auto"/>
      </w:divBdr>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734353492">
      <w:bodyDiv w:val="1"/>
      <w:marLeft w:val="0"/>
      <w:marRight w:val="0"/>
      <w:marTop w:val="0"/>
      <w:marBottom w:val="0"/>
      <w:divBdr>
        <w:top w:val="none" w:sz="0" w:space="0" w:color="auto"/>
        <w:left w:val="none" w:sz="0" w:space="0" w:color="auto"/>
        <w:bottom w:val="none" w:sz="0" w:space="0" w:color="auto"/>
        <w:right w:val="none" w:sz="0" w:space="0" w:color="auto"/>
      </w:divBdr>
    </w:div>
    <w:div w:id="1781948167">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1976790787">
      <w:bodyDiv w:val="1"/>
      <w:marLeft w:val="0"/>
      <w:marRight w:val="0"/>
      <w:marTop w:val="0"/>
      <w:marBottom w:val="0"/>
      <w:divBdr>
        <w:top w:val="none" w:sz="0" w:space="0" w:color="auto"/>
        <w:left w:val="none" w:sz="0" w:space="0" w:color="auto"/>
        <w:bottom w:val="none" w:sz="0" w:space="0" w:color="auto"/>
        <w:right w:val="none" w:sz="0" w:space="0" w:color="auto"/>
      </w:divBdr>
      <w:divsChild>
        <w:div w:id="275259257">
          <w:marLeft w:val="0"/>
          <w:marRight w:val="0"/>
          <w:marTop w:val="0"/>
          <w:marBottom w:val="0"/>
          <w:divBdr>
            <w:top w:val="none" w:sz="0" w:space="0" w:color="auto"/>
            <w:left w:val="none" w:sz="0" w:space="0" w:color="auto"/>
            <w:bottom w:val="none" w:sz="0" w:space="0" w:color="auto"/>
            <w:right w:val="none" w:sz="0" w:space="0" w:color="auto"/>
          </w:divBdr>
        </w:div>
      </w:divsChild>
    </w:div>
    <w:div w:id="1998606990">
      <w:bodyDiv w:val="1"/>
      <w:marLeft w:val="0"/>
      <w:marRight w:val="0"/>
      <w:marTop w:val="0"/>
      <w:marBottom w:val="0"/>
      <w:divBdr>
        <w:top w:val="none" w:sz="0" w:space="0" w:color="auto"/>
        <w:left w:val="none" w:sz="0" w:space="0" w:color="auto"/>
        <w:bottom w:val="none" w:sz="0" w:space="0" w:color="auto"/>
        <w:right w:val="none" w:sz="0" w:space="0" w:color="auto"/>
      </w:divBdr>
    </w:div>
    <w:div w:id="2051952814">
      <w:bodyDiv w:val="1"/>
      <w:marLeft w:val="0"/>
      <w:marRight w:val="0"/>
      <w:marTop w:val="0"/>
      <w:marBottom w:val="0"/>
      <w:divBdr>
        <w:top w:val="none" w:sz="0" w:space="0" w:color="auto"/>
        <w:left w:val="none" w:sz="0" w:space="0" w:color="auto"/>
        <w:bottom w:val="none" w:sz="0" w:space="0" w:color="auto"/>
        <w:right w:val="none" w:sz="0" w:space="0" w:color="auto"/>
      </w:divBdr>
    </w:div>
    <w:div w:id="2062942631">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 w:id="210221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stcom.cz/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a.cadkova@crestcom.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stcom.cz/cz/tiskova-zprava/?id=2677" TargetMode="External"/><Relationship Id="rId5" Type="http://schemas.openxmlformats.org/officeDocument/2006/relationships/numbering" Target="numbering.xml"/><Relationship Id="rId15" Type="http://schemas.openxmlformats.org/officeDocument/2006/relationships/hyperlink" Target="http://www.cbre.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notebook\Downloads\pavlina.musilova1@cb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253257BADF0469838ECFAE4D6628C" ma:contentTypeVersion="10" ma:contentTypeDescription="Create a new document." ma:contentTypeScope="" ma:versionID="0ba23ebae2992f8578f481306f69d0ee">
  <xsd:schema xmlns:xsd="http://www.w3.org/2001/XMLSchema" xmlns:xs="http://www.w3.org/2001/XMLSchema" xmlns:p="http://schemas.microsoft.com/office/2006/metadata/properties" xmlns:ns3="b61534e1-4729-4622-8633-5439ba4dec32" targetNamespace="http://schemas.microsoft.com/office/2006/metadata/properties" ma:root="true" ma:fieldsID="f192cd5bf4ee879a0258544ae0841d59" ns3:_="">
    <xsd:import namespace="b61534e1-4729-4622-8633-5439ba4de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4e1-4729-4622-8633-5439ba4de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E42B-98E2-4077-96E9-C17B6A43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4e1-4729-4622-8633-5439ba4d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3.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8BA1E9-896B-4FC6-BFB6-788A02A0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1922</Words>
  <Characters>11340</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Notebook</cp:lastModifiedBy>
  <cp:revision>7</cp:revision>
  <cp:lastPrinted>2020-02-10T10:11:00Z</cp:lastPrinted>
  <dcterms:created xsi:type="dcterms:W3CDTF">2020-06-25T08:52:00Z</dcterms:created>
  <dcterms:modified xsi:type="dcterms:W3CDTF">2020-06-25T12:35:00Z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0x0101005FD253257BADF0469838ECFAE4D6628C</vt:lpwstr>
  </property>
</Properties>
</file>